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01" w:rsidRPr="004E793E" w:rsidRDefault="00046F06" w:rsidP="00DB2A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564304">
        <w:rPr>
          <w:rFonts w:ascii="Times New Roman" w:hAnsi="Times New Roman" w:cs="Times New Roman"/>
          <w:b/>
          <w:sz w:val="24"/>
          <w:szCs w:val="24"/>
          <w:u w:val="single"/>
        </w:rPr>
        <w:t xml:space="preserve">zęściowy </w:t>
      </w:r>
      <w:r w:rsidR="00AB0158" w:rsidRPr="004E793E">
        <w:rPr>
          <w:rFonts w:ascii="Times New Roman" w:hAnsi="Times New Roman" w:cs="Times New Roman"/>
          <w:b/>
          <w:sz w:val="24"/>
          <w:szCs w:val="24"/>
          <w:u w:val="single"/>
        </w:rPr>
        <w:t>wsad merytoryczny i graficzny kalendarzy</w:t>
      </w:r>
    </w:p>
    <w:p w:rsidR="00DB2A01" w:rsidRPr="00DB2A01" w:rsidRDefault="00DB2A01" w:rsidP="00DB2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01">
        <w:rPr>
          <w:rFonts w:ascii="Times New Roman" w:hAnsi="Times New Roman" w:cs="Times New Roman"/>
          <w:b/>
          <w:sz w:val="24"/>
          <w:szCs w:val="24"/>
        </w:rPr>
        <w:t>UWAGA !!!</w:t>
      </w:r>
    </w:p>
    <w:p w:rsidR="00DB2A01" w:rsidRPr="00096F7D" w:rsidRDefault="00235111" w:rsidP="00DB2A01">
      <w:pPr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zobowiązany jest do przedstawienia</w:t>
      </w:r>
      <w:r w:rsidR="00DB2A01" w:rsidRPr="00096F7D">
        <w:rPr>
          <w:rFonts w:ascii="Times New Roman" w:hAnsi="Times New Roman" w:cs="Times New Roman"/>
          <w:sz w:val="24"/>
          <w:szCs w:val="24"/>
        </w:rPr>
        <w:t>:</w:t>
      </w:r>
    </w:p>
    <w:p w:rsidR="00DB2A01" w:rsidRPr="00096F7D" w:rsidRDefault="004F26B0" w:rsidP="00DB2A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A01" w:rsidRPr="00096F7D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2A01" w:rsidRPr="00096F7D">
        <w:rPr>
          <w:rFonts w:ascii="Times New Roman" w:hAnsi="Times New Roman" w:cs="Times New Roman"/>
          <w:sz w:val="24"/>
          <w:szCs w:val="24"/>
        </w:rPr>
        <w:t xml:space="preserve"> graficzn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F56BE7">
        <w:rPr>
          <w:rFonts w:ascii="Times New Roman" w:hAnsi="Times New Roman" w:cs="Times New Roman"/>
          <w:sz w:val="24"/>
          <w:szCs w:val="24"/>
        </w:rPr>
        <w:t xml:space="preserve"> </w:t>
      </w:r>
      <w:r w:rsidR="003B69A5">
        <w:rPr>
          <w:rFonts w:ascii="Times New Roman" w:hAnsi="Times New Roman" w:cs="Times New Roman"/>
          <w:sz w:val="24"/>
          <w:szCs w:val="24"/>
        </w:rPr>
        <w:t>strony informacyjnej/</w:t>
      </w:r>
      <w:r w:rsidR="00F56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wkładk</w:t>
      </w:r>
      <w:r w:rsidR="003B6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F56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która składać się będzie </w:t>
      </w:r>
      <w:r w:rsidR="007E2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56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wybranego logotypu znajdującego się w załączniku </w:t>
      </w:r>
      <w:r w:rsidR="007E2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nazwie </w:t>
      </w:r>
      <w:r w:rsidR="008D7A6A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„</w:t>
      </w:r>
      <w:r w:rsidR="007E2540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Logotypy </w:t>
      </w:r>
      <w:proofErr w:type="spellStart"/>
      <w:r w:rsidR="007E2540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Osie</w:t>
      </w:r>
      <w:r w:rsidR="008D7A6A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_sięgamy</w:t>
      </w:r>
      <w:proofErr w:type="spellEnd"/>
      <w:r w:rsidR="008D7A6A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 po więcej </w:t>
      </w:r>
      <w:proofErr w:type="spellStart"/>
      <w:r w:rsidR="008D7A6A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osie_krzywe_ai</w:t>
      </w:r>
      <w:proofErr w:type="spellEnd"/>
      <w:r w:rsidR="008D7A6A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”</w:t>
      </w:r>
      <w:r w:rsidR="007E2540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 </w:t>
      </w:r>
      <w:r w:rsidR="00F56BE7" w:rsidRPr="008D7A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na </w:t>
      </w:r>
      <w:r w:rsidR="00F56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przedniej stronie oraz jego</w:t>
      </w:r>
      <w:r w:rsidR="008D7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6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merytorycznego opisu na stronie tylnej, przy czym opis osi należy wybrać z załączonej poniżej listy.</w:t>
      </w:r>
    </w:p>
    <w:p w:rsidR="00E544BB" w:rsidRPr="00F56BE7" w:rsidRDefault="007E2540" w:rsidP="00F56BE7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projektu graficznego</w:t>
      </w:r>
      <w:r w:rsidR="00DB2A01" w:rsidRPr="00096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DB2A01" w:rsidRPr="00096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kalend</w:t>
      </w:r>
      <w:r w:rsidR="008E56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arium</w:t>
      </w:r>
      <w:r w:rsidR="00DB2A01" w:rsidRPr="00096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nawiązując</w:t>
      </w:r>
      <w:r w:rsidR="00DB6E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DB2A01" w:rsidRPr="00096F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projektu</w:t>
      </w:r>
      <w:r w:rsidR="00F56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wkładki.</w:t>
      </w:r>
    </w:p>
    <w:p w:rsidR="008B1484" w:rsidRPr="008B1484" w:rsidRDefault="008B1484" w:rsidP="008B1484">
      <w:pPr>
        <w:jc w:val="both"/>
        <w:rPr>
          <w:rFonts w:ascii="Times New Roman" w:hAnsi="Times New Roman" w:cs="Times New Roman"/>
          <w:b/>
          <w:i/>
          <w:sz w:val="24"/>
        </w:rPr>
      </w:pPr>
      <w:r w:rsidRPr="008B1484">
        <w:rPr>
          <w:rFonts w:ascii="Times New Roman" w:hAnsi="Times New Roman" w:cs="Times New Roman"/>
          <w:b/>
          <w:i/>
          <w:sz w:val="24"/>
        </w:rPr>
        <w:t>PROW 2014-2020</w:t>
      </w:r>
    </w:p>
    <w:p w:rsidR="008B1484" w:rsidRPr="008B1484" w:rsidRDefault="008B1484" w:rsidP="008B1484">
      <w:pPr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Program Rozwoju Obszarów Wiejskich na lata 2014-2020, mający na celu zapewnienie zrównoważonego rozwoju obszarów wiejskich, działa na rzecz poprawy konkurencyjności rolnictwa, zrównoważonego zarządzania zasobami naturalnymi oraz w dziedzinie ochrony klimatu. Program realizuje wszystkie priorytety wyznaczone dla unijnej polityki rozwoju, miedzy innymi zwiększanie włączenia społecznego, ograniczanie ubóstwa i promowanie rozwoju gospodarczego na obszarach wiejskich.</w:t>
      </w:r>
    </w:p>
    <w:p w:rsidR="008B1484" w:rsidRPr="008B1484" w:rsidRDefault="008B1484" w:rsidP="008B1484">
      <w:pPr>
        <w:jc w:val="both"/>
        <w:rPr>
          <w:rFonts w:ascii="Times New Roman" w:hAnsi="Times New Roman" w:cs="Times New Roman"/>
          <w:sz w:val="24"/>
        </w:rPr>
      </w:pPr>
    </w:p>
    <w:p w:rsidR="008B1484" w:rsidRPr="008B1484" w:rsidRDefault="008B1484" w:rsidP="008B1484">
      <w:pPr>
        <w:jc w:val="both"/>
        <w:rPr>
          <w:rFonts w:ascii="Times New Roman" w:hAnsi="Times New Roman" w:cs="Times New Roman"/>
          <w:b/>
          <w:i/>
          <w:sz w:val="24"/>
        </w:rPr>
      </w:pPr>
      <w:r w:rsidRPr="008B1484">
        <w:rPr>
          <w:rFonts w:ascii="Times New Roman" w:hAnsi="Times New Roman" w:cs="Times New Roman"/>
          <w:b/>
          <w:i/>
          <w:sz w:val="24"/>
        </w:rPr>
        <w:t>Działania PROW</w:t>
      </w:r>
    </w:p>
    <w:p w:rsidR="008B1484" w:rsidRPr="008B1484" w:rsidRDefault="008B1484" w:rsidP="008B14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1484">
        <w:rPr>
          <w:rFonts w:ascii="Times New Roman" w:hAnsi="Times New Roman" w:cs="Times New Roman"/>
          <w:b/>
          <w:sz w:val="24"/>
        </w:rPr>
        <w:t>Działanie 7. Podstawowe usługi i odnowa wsi na obszarach wiejskich.</w:t>
      </w:r>
    </w:p>
    <w:p w:rsidR="008B1484" w:rsidRPr="008B1484" w:rsidRDefault="008B1484" w:rsidP="008B1484">
      <w:pPr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Działanie swoim zakresem obejmuje wsparcie rozwoju infrastruktury wiejskiej oraz odnowę wsi, przyczyniając się tym samym do poprawy warunków życia i prowadzenia działalności gospodarczej. Wnioskodawcami są gminy oraz powiaty, a beneficjentami środków mieszkańcy obszarów wiejskich. Samorząd Województwa Kujawsko-Pomorskiego dysponuje środkami w ramach następujących operacji:</w:t>
      </w:r>
    </w:p>
    <w:p w:rsidR="008B1484" w:rsidRPr="008B1484" w:rsidRDefault="008B1484" w:rsidP="008B148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Budowa lub modernizacja dróg lokalnych- ponad 81 mln złotych</w:t>
      </w:r>
    </w:p>
    <w:p w:rsidR="008B1484" w:rsidRPr="008B1484" w:rsidRDefault="008B1484" w:rsidP="008B148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Gospodarka wodno-ściekowa – 64 ml złotych</w:t>
      </w:r>
    </w:p>
    <w:p w:rsidR="008B1484" w:rsidRPr="008B1484" w:rsidRDefault="008B1484" w:rsidP="008B148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Inwestycje w targowiska lub obiekty budowlane prze-znaczone na cele promocji lokalnych produktów – ponad 13 mln złotych</w:t>
      </w:r>
    </w:p>
    <w:p w:rsidR="008B1484" w:rsidRPr="008B1484" w:rsidRDefault="008B1484" w:rsidP="008B148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Inwestycje w obiekty pełniące funkcje kulturalne prawie 10 mln złotych</w:t>
      </w:r>
    </w:p>
    <w:p w:rsidR="008B1484" w:rsidRPr="008B1484" w:rsidRDefault="008B1484" w:rsidP="008B148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 xml:space="preserve">Kształtowanie przestrzeni publicznej – ponad 5 mln złotych </w:t>
      </w:r>
    </w:p>
    <w:p w:rsidR="008B1484" w:rsidRPr="008B1484" w:rsidRDefault="008B1484" w:rsidP="008B148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Ochrona zabytków i budownictwa tradycyjnego – ponad 2 mln złotych</w:t>
      </w:r>
    </w:p>
    <w:p w:rsidR="008B1484" w:rsidRPr="008B1484" w:rsidRDefault="008B1484" w:rsidP="008B14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1484" w:rsidRPr="008B1484" w:rsidRDefault="008B1484" w:rsidP="008B1484">
      <w:pPr>
        <w:jc w:val="both"/>
        <w:rPr>
          <w:rFonts w:ascii="Times New Roman" w:hAnsi="Times New Roman" w:cs="Times New Roman"/>
          <w:b/>
          <w:sz w:val="24"/>
        </w:rPr>
      </w:pPr>
      <w:r w:rsidRPr="008B1484">
        <w:rPr>
          <w:rFonts w:ascii="Times New Roman" w:hAnsi="Times New Roman" w:cs="Times New Roman"/>
          <w:b/>
          <w:sz w:val="24"/>
        </w:rPr>
        <w:t>Działanie 19. Wsparcie dla rozwoju lokalnego w ramach inicjatywy LEADER</w:t>
      </w:r>
    </w:p>
    <w:p w:rsidR="008B1484" w:rsidRPr="008B1484" w:rsidRDefault="008B1484" w:rsidP="008B1484">
      <w:pPr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lastRenderedPageBreak/>
        <w:t xml:space="preserve">Działanie LEADER jest realizowane we współpracy z lokalnymi grupami działania, samorządami lokalnymi oraz udziałem mieszkańców. Projekty mają przyczynić się do zrównoważonego rozwoju obszarów objętych lokalnymi strategiami rozwoju w kierunkach: wzmocnienie kapitału społecznego, zakładanie i rozwijanie działalności gospodarczej, zachowanie dziedzictwa lokalnego, rozwój infrastruktury służącej mieszkańcom wsi oraz podnoszenie wiedzy z zakresu ochrony środowiska. </w:t>
      </w:r>
    </w:p>
    <w:p w:rsidR="008B1484" w:rsidRPr="008B1484" w:rsidRDefault="008B1484" w:rsidP="008B1484">
      <w:pPr>
        <w:jc w:val="both"/>
        <w:rPr>
          <w:rFonts w:ascii="Times New Roman" w:hAnsi="Times New Roman" w:cs="Times New Roman"/>
          <w:sz w:val="24"/>
        </w:rPr>
      </w:pPr>
      <w:r w:rsidRPr="008B1484">
        <w:rPr>
          <w:rFonts w:ascii="Times New Roman" w:hAnsi="Times New Roman" w:cs="Times New Roman"/>
          <w:sz w:val="24"/>
        </w:rPr>
        <w:t>Pula środków przeznaczonych w ramach działania to ponad 172 mln złotych.</w:t>
      </w:r>
    </w:p>
    <w:p w:rsidR="00F56BE7" w:rsidRPr="00281933" w:rsidRDefault="00F56BE7" w:rsidP="00281933">
      <w:pPr>
        <w:pStyle w:val="Akapitzlist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784B" w:rsidRPr="00A5784B" w:rsidRDefault="00F56BE7" w:rsidP="00F5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Osie RPO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1. Wzmocnienie innowacyjności i konkurencyjności gospodarki regionu – prawie 430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by działające w naszym województwie firmy mogły korzystać z najnowszych osiągnięć nauki, a tym samym lepiej radziły sobie na rynku, zostanie przeznaczone co piąte euro z RPO WK-P 2014-2020. Naszym celem jest również takie wzmocnienie instytucji otoczenia biznesu (inkubatory przedsiębiorczości, fundusze pożyczkowe i poręczeniowe, centra obsługi), by skutecznie wspierały przedsiębiorców, m.in. w działaniach na rynku zagranicznym i w kojarzeniu partnerów biznesowych.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2. Cyfrowy region – ponad 50 milionów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te zostaną przeznaczone na rozwój elektronicznych usług publicznych – szczególnie w sferach: administracji, zdrowia i kultury.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3. Efektywność energetyczna i gospodarka niskoemisyjna w regionie – ponad 282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strony wspierać będziemy produkcję energii ze źródeł odnawialnych. Z drugiej dofinansujemy inwestycje zmierzające do ograniczenia strat energii w budownictwie oraz zmniejszenie jej zużycia w przedsiębiorstwach. W ramach osi 3 wsparcie będzie można otrzymać również na zakup energooszczędnych i przyjaznych środowisku środków transportu, jak i na budowę ścieżek rowerowych.</w:t>
      </w:r>
    </w:p>
    <w:p w:rsid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6BE7" w:rsidRPr="00A5784B" w:rsidRDefault="00F56BE7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4. Region przyjazny środowisku – ponad 118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wsparcie w ramach osi 4 mogą ubiegać się wnioskodawcy planujący inwestycje zwiększające ochronę obszarów zagrożonych powodzią oraz służby ratownicze walczące z tym żywiołem. Chcemy też wspomagać powstawanie infrastruktury do selektywnej zbiórki i przetwarzania odpadów i ich recyklingu. A także budowę i rozbudowę sieci kanalizacyjnych i oczyszczalni ścieków – w aglomeracjach od 2 do 10 tys. RLM.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5. Spójność wewnętrzna i dostępność zewnętrzna regionu – prawie 206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osi 5 wspierać będziemy inwestycje drogowe, wpisujące się w Transeuropejską Sieć Transportową (TEN-T). Ale także budowę, modernizację i rewitalizację linii kolejowych i dworców o znaczeniu regionalnym oraz integrację transportu drogowego i kolejowego.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6. Solidarne społeczeństwo i konkurencyjne kadry – EFRR – ponad 241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uzyskają projekty dotyczące infrastruktury opieki zdrowotnej. Wsparcie w osi 6 przyczyni się także do wzrostu ilości miejsc w żłobkach, przedszkolach i innych placówkach opieki nad dziećmi. Zadbamy również o rozwój infrastruktury szkolnictwa zawodowego, m.in. poprzez modernizację warsztatów szkolnych. Dofinansujemy inwestycje w budownictwo socjalne oraz chronione. Nadto wspierać będziemy procesy rewitalizacyjne zdegradowanych obszarów miejskich.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7. Rozwój lokalny kierowany przez społeczność – blisko 40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O wsparcie mogą się ubiegać wnioskodawcy, którzy w ramach lokalnych strategii rozwoju planują działania wspierające lokalną przedsiębiorczość oraz rewitalizację obszarów wiejskich.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8. Aktywni na rynku pracy – ponad 183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strony zależy nam, aby matki mogły po urodzeniu dziecka łatwo powrócić na rynek pracy i odnaleźć się na nim. Z drugiej chcemy poprawy warunków życia i pracy osób w wieku 50+., a także zwiększenia szans na znalezienie zatrudnienia przez takie osoby. Wsparcie adresowane jest też do zwalnianych pracowników i właścicieli firm oraz do kadr zarządzających przedsiębiorstw, które zmieniają profil działalności.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9. Solidarne społeczeństwo – ponad 124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Wspierać będziemy działania prowadzące do aktywizacji społeczno-zawodowej osób, rodzin i grup wykluczonych oraz zagrożonych wykluczeniem. Przyczynią się do tego m.in. środki przeznaczone na rozwój ekonomii społecznej. Naszym celem jest także popieranie programów wczesnego wykrywania wad rozwojowych i rehabilitacji dzieci zagrożonych niepełnosprawnością i niepełnosprawnych. Chcemy też zwiększać dostęp do usług opiekuńczych dla osób starszych i niepełnosprawnych.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10. Innowacyjna edukacja – ponad 131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Zależy nam by edukacja na Kujawach i Pomorzu (na wszystkich etapach - od szkół podstawowych, przez gimnazjalne, po ponadgimnazjalne) była ukierunkowana na rozwijanie kreatywności, innowacyjności i pracy zespołowej. A także by zapewniała wsparcie uczniów o specjalnych potrzebach edukacyjnych, w tym niepełnosprawnych. Szczególnie zależy nam także na rozwoju szkolnictwa zawodowego, a zwłaszcza współpracy tego typu placówek z firmami, m.in. przez organizację staży i praktyk zawodowych.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11. Rozwój lokalny kierowany przez społeczność – ponad</w:t>
      </w: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osi 11 wspierać będziemy działania o charakterze środowiskowym – takich jak tworzenie klubów: samopomocy, młodzieżowych i pracy oraz świetlic środowiskowych. Istotne jest to, ze muszą one wynikać z Lokalnych Strategii Rozwoju. O wsparcie mogą się też ubiegać wnioskodawcy działający na rzecz rozwoju gospodarki i przedsiębiorczości społecznej.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4D1F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12. Pomoc techniczna – prawie 60 mln euro</w:t>
      </w: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środki będą przeznaczone m.in. na działania informacyjne i promocyjne zwiększające wiedzę mieszkańców regionu na temat możliwości uzyskania wsparcia w ramach RPO WK-P 2014-2020, a także celów i korzyści wynikających z wdrażania programu.</w:t>
      </w:r>
    </w:p>
    <w:p w:rsidR="00064D1F" w:rsidRPr="00955D9B" w:rsidRDefault="00064D1F" w:rsidP="00064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55D9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INFORMACJE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Odnawialne źródła energii i efektywność energetyczna - około 163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energii ze źródeł odnawialnych – słońca, wody, ziemi czy biomasy - to jeden z priorytetów ustalonych przez Komisję Europejską na najbliższe lata. Kładziemy też nacisk na bardziej efektywne wykorzystanie energii w budynkach publicznych i mieszkalnych (np. poprzez ocieplenie budynku połączone z wymianą okien i drzwi, przebudowę systemów grzewczych czy instalację systemów OZE). Wsparcie zostanie też skierowane na działania przyczyniające się do zmniejszenia strat energii w przedsiębiorstwach.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Zrównoważona mobilność miejska - około 134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zachęcić mieszkańców do korzystania z transportu zbiorowego dofinansujemy działania przyczyniające się do dalszego rozwoju systemu transportu miejskiego. Wsparcie może dotyczyć: zakupu niskoemisyjnych środków transportu, rozwoju inteligentnych systemów transportowych, tworzenia buspasów, czy też rozwoju systemu transportu rowerowego.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Transport: drogi i kolej - około 185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Kontynuujemy wspieranie rozwoju infrastruktury transportowej, w tym drogowej, łączącej ważne szlaki komunikacyjne z drogami wojewódzkimi i lokalnymi. Aby zapewnić jak największą spójność komunikacyjną w regionie przygotowywany jest Kujawsko-Pomorski Plan Spójności Komunikacji Drogowej i Kolejowej, który zostanie jeszcze poddany konsultacjom społecznym. Ponadto dofinansowanie trafi na inwestycje w budowę, modernizację i rewitalizację sieci kolejowej oraz infrastruktury dworcowej o znaczeniu regionalnym.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środowiska: gospodarka odpadami i gospodarka wodno-ściekowa – około 65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gospodarki odpadami wsparcie uzyskają inwestycje w infrastrukturę do selektywnej zbiórki i przetwarzania odpadów, recyklingu, sortowania i kompostowania. W zakresie infrastruktury wodno-ściekowej, dofinansowanie obejmie budowę i unowocześnienie sieci kanalizacyjnej oraz oczyszczalni ścieków.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Kultura – około 30 milionów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w tym zakresie to rozwój instytucji kultury, a także kontynuacja działań na rzecz ochrony dziedzictwa kulturowego, w tym konserwacja zabytków i materiałów archiwalnych.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Zdrowie – około 112 milionów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Sfinansujemy projekty dotyczące infrastruktury opieki zdrowotnej. Nowością będzie wsparcie programów profilaktyki zdrowotnej. Działania będą się koncentrować przede wszystkim w obszarach przejawiających się wysoką zachorowalnością i umieralnością w regionie (choroby układu krążenia, nowotworowe, układu kostno-stawowo-mięśniowego, układu oddechowego, psychiczne).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Edukacja – około 178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Stawiamy na zwiększanie jakości edukacji przedszkolnej. Przyczyni się do tego utworzenie odpowiedniej ilości miejsc w przedszkolach, a także zapewnienie kompetentnej i wykwalifikowanej kadry. W zakresie rozwoju szkolnictwa zawodowego szczególny nacisk zostanie położony na współpracę szkół z otoczeniem społeczno- gospodarczym. Jej elementem będą staże i praktyki oraz działania służące dostosowaniu wsparcia do potrzeb rynku pracy i pracodawców. Uzupełnieniem będzie dofinansowanie szkół prowadzących kształcenie ogólne skierowane na rozwój kompetencji kluczowych z punktu widzenia rynku pracy, np. języków obcych, umiejętności ICT, przedsiębiorczości czy kreatywności oraz podmiotów popularyzujących naukę w sposób eksperymentalny i ciekawy dla odbiorcy.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Solidarne społeczeństwo – około 125 mln euro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zapominamy o osobach zagrożonych ubóstwem i wykluczeniem społecznym. Działania będą zmierzały przede wszystkim do zwiększenia możliwości zatrudnienia tych osób oraz aktywizacji społecznej i zawodowej. Planujemy również zapewnić szerszy dostęp do usług zdrowotnych w zakresie rehabilitacji dzieci zagrożonych niepełnosprawnością i niepełnosprawnych. Będziemy także wspierać sferę usług społecznych, takich jak usługi opiekuńcze nad osobami starszymi i niepełnosprawnymi, wsparcie dla rodzin zastępczych, wsparcie dla osób bezdomnych. Ważnym elementem w walce z wykluczeniem społecznym jest sektor ekonomii społecznej.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84B" w:rsidRPr="00A5784B" w:rsidRDefault="00A5784B" w:rsidP="00A5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terytorialny – około 500 mln euro</w:t>
      </w:r>
    </w:p>
    <w:p w:rsidR="009A2FBF" w:rsidRPr="001007C0" w:rsidRDefault="00A5784B" w:rsidP="0010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84B">
        <w:rPr>
          <w:rFonts w:ascii="Times New Roman" w:eastAsia="Times New Roman" w:hAnsi="Times New Roman" w:cs="Times New Roman"/>
          <w:sz w:val="24"/>
          <w:szCs w:val="24"/>
          <w:lang w:eastAsia="pl-PL"/>
        </w:rPr>
        <w:t>Nowa perspektywa finansowa wprowadza innowacyjne narzędzie jakim jest polityka terytorialna. W województwie kujawsko-pomorskim będzie ona upowszechniana poprzez realizację polityki miejskiej w 5 największych miastach naszego regionu oraz poprzez wsparcie rozwoju i rozwiązywanie najważniejszych problemów społecznych i gospodarczych na obszarach powiatowych. Ponadto nasz region jest jednym z dwóch województw w naszym kraju, które zdecydowały się na wykorzystanie nowego instrumentu oddolnego jakim jest rozwój lokalny kierowany przez społeczność (RLKS). Działania realizowane przy pomocy tego instrumentu będą ukierunkowane na ożywienie społeczne i gospodarcze obszarów, poprzez współpracę różnych partnerów ze środowisk samorządowych, społecznych i gospodarczych.</w:t>
      </w:r>
    </w:p>
    <w:sectPr w:rsidR="009A2FBF" w:rsidRPr="001007C0" w:rsidSect="00DB2A0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6B6"/>
    <w:multiLevelType w:val="hybridMultilevel"/>
    <w:tmpl w:val="9872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668"/>
    <w:multiLevelType w:val="hybridMultilevel"/>
    <w:tmpl w:val="27D8D9C0"/>
    <w:lvl w:ilvl="0" w:tplc="DCFE82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B"/>
    <w:rsid w:val="00046F06"/>
    <w:rsid w:val="00064D1F"/>
    <w:rsid w:val="000B1189"/>
    <w:rsid w:val="001007C0"/>
    <w:rsid w:val="00102138"/>
    <w:rsid w:val="00153E80"/>
    <w:rsid w:val="00235111"/>
    <w:rsid w:val="00281933"/>
    <w:rsid w:val="002C47A3"/>
    <w:rsid w:val="003B69A5"/>
    <w:rsid w:val="003E0C4D"/>
    <w:rsid w:val="004E793E"/>
    <w:rsid w:val="004F26B0"/>
    <w:rsid w:val="00564304"/>
    <w:rsid w:val="005C4112"/>
    <w:rsid w:val="00605024"/>
    <w:rsid w:val="007E2540"/>
    <w:rsid w:val="008B1484"/>
    <w:rsid w:val="008D7A6A"/>
    <w:rsid w:val="008E56DD"/>
    <w:rsid w:val="00900253"/>
    <w:rsid w:val="00955D9B"/>
    <w:rsid w:val="009A2FBF"/>
    <w:rsid w:val="00A5784B"/>
    <w:rsid w:val="00AB0158"/>
    <w:rsid w:val="00AD64AC"/>
    <w:rsid w:val="00DA5BA0"/>
    <w:rsid w:val="00DB2A01"/>
    <w:rsid w:val="00DB6924"/>
    <w:rsid w:val="00DB6E22"/>
    <w:rsid w:val="00E544BB"/>
    <w:rsid w:val="00EA0896"/>
    <w:rsid w:val="00F00264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7F5E-F3EA-4FA4-BFD7-1073F3C9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10739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Karolina Kriger</cp:lastModifiedBy>
  <cp:revision>2</cp:revision>
  <cp:lastPrinted>2018-07-19T09:01:00Z</cp:lastPrinted>
  <dcterms:created xsi:type="dcterms:W3CDTF">2018-09-06T06:41:00Z</dcterms:created>
  <dcterms:modified xsi:type="dcterms:W3CDTF">2018-09-06T06:41:00Z</dcterms:modified>
</cp:coreProperties>
</file>