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D8" w:rsidRPr="0020705D" w:rsidRDefault="006875D8" w:rsidP="006875D8">
      <w:pPr>
        <w:tabs>
          <w:tab w:val="left" w:pos="7515"/>
          <w:tab w:val="left" w:pos="7920"/>
        </w:tabs>
        <w:spacing w:after="0" w:line="240" w:lineRule="auto"/>
        <w:contextualSpacing/>
        <w:jc w:val="right"/>
        <w:rPr>
          <w:rFonts w:cs="Arial"/>
        </w:rPr>
      </w:pPr>
      <w:r w:rsidRPr="0020705D">
        <w:rPr>
          <w:rFonts w:cs="Arial"/>
        </w:rPr>
        <w:t xml:space="preserve">Toruń, </w:t>
      </w:r>
      <w:r>
        <w:rPr>
          <w:rFonts w:cs="Arial"/>
        </w:rPr>
        <w:t>16</w:t>
      </w:r>
      <w:r w:rsidRPr="0020705D">
        <w:rPr>
          <w:rFonts w:cs="Arial"/>
        </w:rPr>
        <w:t xml:space="preserve"> </w:t>
      </w:r>
      <w:r>
        <w:rPr>
          <w:rFonts w:cs="Arial"/>
        </w:rPr>
        <w:t>lipca 2018</w:t>
      </w:r>
      <w:r w:rsidRPr="0020705D">
        <w:rPr>
          <w:rFonts w:cs="Arial"/>
        </w:rPr>
        <w:t xml:space="preserve"> r.</w:t>
      </w:r>
    </w:p>
    <w:p w:rsidR="006875D8" w:rsidRDefault="006875D8" w:rsidP="006875D8">
      <w:pPr>
        <w:tabs>
          <w:tab w:val="left" w:pos="7515"/>
          <w:tab w:val="left" w:pos="7920"/>
        </w:tabs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6875D8" w:rsidRDefault="006875D8" w:rsidP="006875D8">
      <w:pPr>
        <w:spacing w:after="0" w:line="240" w:lineRule="auto"/>
        <w:jc w:val="center"/>
        <w:rPr>
          <w:b/>
        </w:rPr>
      </w:pPr>
    </w:p>
    <w:p w:rsidR="006875D8" w:rsidRPr="00A4243E" w:rsidRDefault="006875D8" w:rsidP="006875D8">
      <w:pPr>
        <w:spacing w:after="0" w:line="240" w:lineRule="auto"/>
        <w:jc w:val="center"/>
        <w:rPr>
          <w:b/>
        </w:rPr>
      </w:pPr>
      <w:r w:rsidRPr="00A4243E">
        <w:rPr>
          <w:b/>
        </w:rPr>
        <w:t>ZAPYTANIE OFERTOWE</w:t>
      </w:r>
    </w:p>
    <w:p w:rsidR="006875D8" w:rsidRPr="00A4243E" w:rsidRDefault="006875D8" w:rsidP="006875D8">
      <w:pPr>
        <w:spacing w:after="0" w:line="240" w:lineRule="auto"/>
        <w:jc w:val="center"/>
        <w:rPr>
          <w:b/>
        </w:rPr>
      </w:pPr>
      <w:r w:rsidRPr="00A4243E">
        <w:rPr>
          <w:b/>
        </w:rPr>
        <w:t>O WARTOŚCI SZACUNKOWEJ PONIŻEJ 30 000 EURO</w:t>
      </w:r>
    </w:p>
    <w:p w:rsidR="006875D8" w:rsidRPr="00B33DC7" w:rsidRDefault="006875D8" w:rsidP="006875D8">
      <w:pPr>
        <w:spacing w:after="0" w:line="240" w:lineRule="auto"/>
        <w:jc w:val="center"/>
      </w:pPr>
    </w:p>
    <w:p w:rsidR="00FC7A07" w:rsidRPr="00A4243E" w:rsidRDefault="00FC7A07" w:rsidP="00FC7A07">
      <w:pPr>
        <w:spacing w:after="0" w:line="240" w:lineRule="auto"/>
        <w:jc w:val="center"/>
        <w:rPr>
          <w:b/>
        </w:rPr>
      </w:pPr>
      <w:r w:rsidRPr="007022C1">
        <w:rPr>
          <w:b/>
        </w:rPr>
        <w:t xml:space="preserve">na opracowanie </w:t>
      </w:r>
      <w:r>
        <w:rPr>
          <w:b/>
        </w:rPr>
        <w:t xml:space="preserve">programu funkcjonalno-użytkowego </w:t>
      </w:r>
      <w:r w:rsidRPr="00BC4A22">
        <w:rPr>
          <w:b/>
        </w:rPr>
        <w:t>dla </w:t>
      </w:r>
      <w:r>
        <w:rPr>
          <w:b/>
        </w:rPr>
        <w:t xml:space="preserve">projektu pn. </w:t>
      </w:r>
      <w:r w:rsidRPr="00B66A1D">
        <w:rPr>
          <w:b/>
        </w:rPr>
        <w:t>„</w:t>
      </w:r>
      <w:r w:rsidRPr="00137B5D">
        <w:rPr>
          <w:b/>
        </w:rPr>
        <w:t xml:space="preserve">Dostrzec to, co niewidoczne” – zwiększenie dostępności do edukacji przedszkolnej w ośrodku </w:t>
      </w:r>
      <w:proofErr w:type="spellStart"/>
      <w:r w:rsidRPr="00137B5D">
        <w:rPr>
          <w:b/>
        </w:rPr>
        <w:t>Braille’a</w:t>
      </w:r>
      <w:proofErr w:type="spellEnd"/>
      <w:r w:rsidRPr="00137B5D">
        <w:rPr>
          <w:b/>
        </w:rPr>
        <w:t xml:space="preserve"> </w:t>
      </w:r>
      <w:r>
        <w:rPr>
          <w:b/>
        </w:rPr>
        <w:t xml:space="preserve">w Bydgoszczy, </w:t>
      </w:r>
      <w:r w:rsidRPr="00B33DC7">
        <w:rPr>
          <w:b/>
        </w:rPr>
        <w:t>planowan</w:t>
      </w:r>
      <w:r>
        <w:rPr>
          <w:b/>
        </w:rPr>
        <w:t>ego</w:t>
      </w:r>
      <w:r w:rsidRPr="00B33DC7">
        <w:rPr>
          <w:b/>
        </w:rPr>
        <w:t xml:space="preserve"> do realizacji </w:t>
      </w:r>
      <w:r>
        <w:rPr>
          <w:b/>
        </w:rPr>
        <w:t xml:space="preserve">w ramach </w:t>
      </w:r>
      <w:r w:rsidRPr="00A4243E">
        <w:rPr>
          <w:b/>
          <w:bCs/>
        </w:rPr>
        <w:t>Osi priorytetowej 6 Solidarne społeczeństwo i konkurencyjne kadry,</w:t>
      </w:r>
      <w:r w:rsidRPr="00A4243E">
        <w:rPr>
          <w:b/>
        </w:rPr>
        <w:t xml:space="preserve"> Działania:  6.3 Inwestycje w infrastrukturę edukacyjną, Poddziałania:  6.3.</w:t>
      </w:r>
      <w:r w:rsidRPr="00274F41">
        <w:rPr>
          <w:sz w:val="20"/>
        </w:rPr>
        <w:t xml:space="preserve"> </w:t>
      </w:r>
      <w:r w:rsidRPr="00274F41">
        <w:rPr>
          <w:b/>
        </w:rPr>
        <w:t>1 Inwestycje w infrastrukturę przedszkolną</w:t>
      </w:r>
      <w:r w:rsidRPr="00A4243E">
        <w:rPr>
          <w:b/>
        </w:rPr>
        <w:t xml:space="preserve">, </w:t>
      </w:r>
      <w:r w:rsidRPr="00A4243E">
        <w:rPr>
          <w:b/>
          <w:bCs/>
        </w:rPr>
        <w:t>Regionalnego Programu Operacyjnego Województwa Kujawsko-Pomorskiego na lata 2014-2020</w:t>
      </w:r>
    </w:p>
    <w:p w:rsidR="006875D8" w:rsidRDefault="006875D8" w:rsidP="006875D8">
      <w:pPr>
        <w:spacing w:after="0" w:line="240" w:lineRule="auto"/>
        <w:jc w:val="both"/>
        <w:rPr>
          <w:b/>
        </w:rPr>
      </w:pPr>
    </w:p>
    <w:p w:rsidR="006875D8" w:rsidRPr="00BC4A22" w:rsidRDefault="006875D8" w:rsidP="006875D8">
      <w:pPr>
        <w:spacing w:after="0" w:line="240" w:lineRule="auto"/>
        <w:jc w:val="both"/>
        <w:rPr>
          <w:b/>
        </w:rPr>
      </w:pPr>
    </w:p>
    <w:p w:rsidR="006875D8" w:rsidRDefault="006875D8" w:rsidP="006875D8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 w:rsidRPr="00B33DC7">
        <w:rPr>
          <w:b/>
        </w:rPr>
        <w:t>Zamawiający</w:t>
      </w:r>
    </w:p>
    <w:p w:rsidR="006875D8" w:rsidRPr="00B33DC7" w:rsidRDefault="006875D8" w:rsidP="006875D8">
      <w:pPr>
        <w:pStyle w:val="Akapitzlist"/>
        <w:spacing w:after="0" w:line="240" w:lineRule="auto"/>
        <w:jc w:val="both"/>
        <w:rPr>
          <w:b/>
        </w:rPr>
      </w:pPr>
    </w:p>
    <w:p w:rsidR="006875D8" w:rsidRDefault="006875D8" w:rsidP="006875D8">
      <w:pPr>
        <w:pStyle w:val="Default"/>
        <w:jc w:val="both"/>
        <w:rPr>
          <w:sz w:val="22"/>
          <w:szCs w:val="22"/>
        </w:rPr>
      </w:pPr>
      <w:r w:rsidRPr="00494C95">
        <w:rPr>
          <w:sz w:val="22"/>
          <w:szCs w:val="22"/>
        </w:rPr>
        <w:t xml:space="preserve">Nazwa: </w:t>
      </w:r>
      <w:r>
        <w:rPr>
          <w:sz w:val="22"/>
          <w:szCs w:val="22"/>
        </w:rPr>
        <w:t>Województwo Kujawsko-Pomorskie</w:t>
      </w: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  <w:r w:rsidRPr="00B33DC7">
        <w:rPr>
          <w:sz w:val="22"/>
          <w:szCs w:val="22"/>
        </w:rPr>
        <w:t xml:space="preserve">REGON: 092350613 </w:t>
      </w: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  <w:r w:rsidRPr="00B33DC7">
        <w:rPr>
          <w:sz w:val="22"/>
          <w:szCs w:val="22"/>
        </w:rPr>
        <w:t xml:space="preserve">NIP: 9561969536 </w:t>
      </w: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  <w:r w:rsidRPr="00B33DC7">
        <w:rPr>
          <w:sz w:val="22"/>
          <w:szCs w:val="22"/>
        </w:rPr>
        <w:t xml:space="preserve">Adres: ul. Plac Teatralny 2, 87-100 Toruń </w:t>
      </w: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  <w:r w:rsidRPr="00B33DC7">
        <w:rPr>
          <w:sz w:val="22"/>
          <w:szCs w:val="22"/>
        </w:rPr>
        <w:t xml:space="preserve">Strona internetowa: http://www.kujawsko-pomorskie.pl/ </w:t>
      </w:r>
    </w:p>
    <w:p w:rsidR="006875D8" w:rsidRDefault="006875D8" w:rsidP="006875D8">
      <w:pPr>
        <w:spacing w:after="0" w:line="240" w:lineRule="auto"/>
        <w:jc w:val="both"/>
      </w:pPr>
    </w:p>
    <w:p w:rsidR="006875D8" w:rsidRDefault="006875D8" w:rsidP="006875D8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 w:rsidRPr="00B33DC7">
        <w:rPr>
          <w:b/>
        </w:rPr>
        <w:t>Opis przedmiotu zamówienia</w:t>
      </w:r>
    </w:p>
    <w:p w:rsidR="006875D8" w:rsidRPr="00B33DC7" w:rsidRDefault="006875D8" w:rsidP="006875D8">
      <w:pPr>
        <w:pStyle w:val="Akapitzlist"/>
        <w:spacing w:after="0" w:line="240" w:lineRule="auto"/>
        <w:jc w:val="both"/>
        <w:rPr>
          <w:b/>
        </w:rPr>
      </w:pPr>
    </w:p>
    <w:p w:rsidR="006875D8" w:rsidRPr="006E0F71" w:rsidRDefault="006875D8" w:rsidP="006875D8">
      <w:pPr>
        <w:spacing w:after="0" w:line="240" w:lineRule="auto"/>
        <w:jc w:val="both"/>
        <w:rPr>
          <w:b/>
        </w:rPr>
      </w:pPr>
      <w:r w:rsidRPr="005801E7">
        <w:t xml:space="preserve">Przedmiotem zamówienia jest opracowanie </w:t>
      </w:r>
      <w:r>
        <w:t>programu funkcjonalno-użytkowego</w:t>
      </w:r>
      <w:r w:rsidRPr="005801E7">
        <w:t xml:space="preserve"> na potrzeby realizacji inwestycji w jednostce dla której </w:t>
      </w:r>
      <w:r w:rsidRPr="005801E7">
        <w:rPr>
          <w:rFonts w:cs="Tahoma"/>
        </w:rPr>
        <w:t xml:space="preserve">organem prowadzącym jest Samorząd Województwa Kujawsko-Pomorskiego z zamiarem przygotowania wniosku o dofinansowanie </w:t>
      </w:r>
      <w:r w:rsidRPr="005801E7">
        <w:t>w ramach</w:t>
      </w:r>
      <w:r w:rsidR="006E0F71">
        <w:t>:</w:t>
      </w:r>
      <w:r>
        <w:t xml:space="preserve"> </w:t>
      </w:r>
      <w:r w:rsidR="006E0F71" w:rsidRPr="006E0F71">
        <w:t xml:space="preserve">Poddziałania 6.3.1 Regionalnego Programu Operacyjnego Województwa Kujawsko-Pomorskiego na lata 2014-2020 dla projektu pn. „Dostrzec to, co niewidoczne” – zwiększenie dostępności do edukacji przedszkolnej w ośrodku </w:t>
      </w:r>
      <w:proofErr w:type="spellStart"/>
      <w:r w:rsidR="006E0F71" w:rsidRPr="006E0F71">
        <w:t>Braille’a</w:t>
      </w:r>
      <w:proofErr w:type="spellEnd"/>
      <w:r w:rsidR="006E0F71" w:rsidRPr="006E0F71">
        <w:t xml:space="preserve"> w Bydgoszczy.</w:t>
      </w:r>
    </w:p>
    <w:p w:rsidR="006875D8" w:rsidRPr="00B33DC7" w:rsidRDefault="006875D8" w:rsidP="006875D8">
      <w:pPr>
        <w:pStyle w:val="Default"/>
        <w:jc w:val="both"/>
        <w:rPr>
          <w:rFonts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Program funkcjonalno-użytkowy</w:t>
      </w:r>
      <w:r w:rsidRPr="00B33DC7">
        <w:rPr>
          <w:color w:val="auto"/>
          <w:sz w:val="22"/>
          <w:szCs w:val="22"/>
        </w:rPr>
        <w:t xml:space="preserve"> należy przygotować z </w:t>
      </w:r>
      <w:r w:rsidRPr="00B33DC7">
        <w:rPr>
          <w:rFonts w:cs="Times New Roman"/>
          <w:color w:val="auto"/>
          <w:sz w:val="22"/>
          <w:szCs w:val="22"/>
        </w:rPr>
        <w:t>zgodnie z obowiązującymi przepisami prawa wspólnotowego i krajowego</w:t>
      </w:r>
      <w:r w:rsidRPr="00B33DC7">
        <w:rPr>
          <w:color w:val="auto"/>
          <w:sz w:val="22"/>
          <w:szCs w:val="22"/>
        </w:rPr>
        <w:t xml:space="preserve">, z zachowaniem zgodności z obowiązującymi rozporządzeniami i innymi aktami prawnymi/dokumentami, a w szczególności z aktualnie obowiązującymi: </w:t>
      </w:r>
      <w:r w:rsidRPr="00B33DC7">
        <w:rPr>
          <w:rFonts w:cs="Arial"/>
          <w:bCs/>
          <w:i/>
          <w:color w:val="auto"/>
          <w:sz w:val="22"/>
          <w:szCs w:val="22"/>
        </w:rPr>
        <w:t xml:space="preserve">Wytycznymi w zakresie zagadnień związanych z przygotowaniem projektów inwestycyjnych, w tym projektów generujących dochód i projektów hybrydowych na lata 2014-2020 </w:t>
      </w:r>
      <w:r w:rsidRPr="00B33DC7">
        <w:rPr>
          <w:rFonts w:cs="Arial"/>
          <w:color w:val="auto"/>
          <w:sz w:val="22"/>
          <w:szCs w:val="22"/>
        </w:rPr>
        <w:t xml:space="preserve">wydanymi przez </w:t>
      </w:r>
      <w:r w:rsidRPr="00B33DC7">
        <w:rPr>
          <w:rFonts w:cs="Arial"/>
          <w:bCs/>
          <w:color w:val="auto"/>
          <w:sz w:val="22"/>
          <w:szCs w:val="22"/>
        </w:rPr>
        <w:t xml:space="preserve">Ministra Infrastruktury i Rozwoju oraz </w:t>
      </w:r>
      <w:r w:rsidRPr="00B33DC7">
        <w:rPr>
          <w:rFonts w:cs="Arial"/>
          <w:bCs/>
          <w:i/>
          <w:color w:val="auto"/>
          <w:sz w:val="22"/>
          <w:szCs w:val="22"/>
        </w:rPr>
        <w:t>Przewodnikiem</w:t>
      </w:r>
      <w:r w:rsidRPr="00B33DC7">
        <w:rPr>
          <w:i/>
          <w:color w:val="auto"/>
          <w:sz w:val="22"/>
          <w:szCs w:val="22"/>
        </w:rPr>
        <w:t xml:space="preserve"> po analizie kosztów i korzyści projektów inwestycyjnych</w:t>
      </w:r>
      <w:r w:rsidRPr="00B33DC7">
        <w:rPr>
          <w:color w:val="auto"/>
          <w:sz w:val="22"/>
          <w:szCs w:val="22"/>
        </w:rPr>
        <w:t xml:space="preserve"> </w:t>
      </w:r>
      <w:r w:rsidRPr="0040204C">
        <w:rPr>
          <w:rFonts w:cs="Times New Roman"/>
          <w:bCs/>
          <w:color w:val="auto"/>
          <w:sz w:val="22"/>
          <w:szCs w:val="22"/>
        </w:rPr>
        <w:t>opracowanym przez Komisję Europejską.</w:t>
      </w:r>
    </w:p>
    <w:p w:rsidR="006875D8" w:rsidRPr="00B33DC7" w:rsidRDefault="006875D8" w:rsidP="006875D8">
      <w:pPr>
        <w:pStyle w:val="NormalnyWeb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</w:p>
    <w:p w:rsidR="006875D8" w:rsidRPr="00B33DC7" w:rsidRDefault="006875D8" w:rsidP="006875D8">
      <w:pPr>
        <w:spacing w:after="0" w:line="240" w:lineRule="auto"/>
        <w:jc w:val="both"/>
      </w:pPr>
      <w:r w:rsidRPr="00B33DC7">
        <w:t xml:space="preserve">Przedmiot zamówienia obejmuje opracowanie </w:t>
      </w:r>
      <w:r>
        <w:t>programu funkcjonalno-użytkowego</w:t>
      </w:r>
      <w:r w:rsidRPr="00B33DC7">
        <w:t xml:space="preserve"> na potrzeby niżej wymienion</w:t>
      </w:r>
      <w:r>
        <w:t>ej</w:t>
      </w:r>
      <w:r w:rsidRPr="00B33DC7">
        <w:t xml:space="preserve"> inwestycji:</w:t>
      </w:r>
      <w:r>
        <w:t xml:space="preserve"> </w:t>
      </w:r>
    </w:p>
    <w:p w:rsidR="006E0F71" w:rsidRDefault="006E0F71" w:rsidP="006E0F71">
      <w:pPr>
        <w:pStyle w:val="Akapitzlist"/>
        <w:spacing w:after="0" w:line="240" w:lineRule="auto"/>
        <w:ind w:left="0"/>
        <w:jc w:val="both"/>
        <w:rPr>
          <w:rFonts w:cs="Tahoma"/>
        </w:rPr>
      </w:pPr>
      <w:r w:rsidRPr="00B33DC7">
        <w:rPr>
          <w:rFonts w:cs="Tahoma"/>
        </w:rPr>
        <w:t>adaptacja, modernizacja, remont i wyposażenie w ba</w:t>
      </w:r>
      <w:r>
        <w:rPr>
          <w:rFonts w:cs="Tahoma"/>
        </w:rPr>
        <w:t xml:space="preserve">zę dydaktyczną </w:t>
      </w:r>
      <w:r w:rsidRPr="00EA2D12">
        <w:rPr>
          <w:rFonts w:cs="Tahoma"/>
        </w:rPr>
        <w:t xml:space="preserve">dwukondygnacyjnego obiektu </w:t>
      </w:r>
      <w:r w:rsidRPr="00F40357">
        <w:rPr>
          <w:rFonts w:cs="Tahoma"/>
        </w:rPr>
        <w:t xml:space="preserve">na potrzeby </w:t>
      </w:r>
      <w:r w:rsidRPr="00F40357">
        <w:t>świadczenia usług wychowania przedszkolnego (</w:t>
      </w:r>
      <w:r>
        <w:t>oddziału</w:t>
      </w:r>
      <w:r w:rsidRPr="00F40357">
        <w:t xml:space="preserve"> przedszko</w:t>
      </w:r>
      <w:r>
        <w:t>lnego</w:t>
      </w:r>
      <w:r w:rsidRPr="00F40357">
        <w:t>)</w:t>
      </w:r>
      <w:r>
        <w:t xml:space="preserve"> </w:t>
      </w:r>
      <w:r w:rsidRPr="00EA2D12">
        <w:rPr>
          <w:rFonts w:cs="Tahoma"/>
        </w:rPr>
        <w:t xml:space="preserve">wraz z niezbędnym wyposażeniem odnoszącym się do zakresu infrastrukturalnego projektu, w tym również wyposażenie placu zabaw w Kujawsko – Pomorskim Specjalnym Ośrodku Szkolno-Wychowawczym Nr 1 dla Dzieci i Młodzieży Słabo Widzącej i Niewidomej im. Louisa </w:t>
      </w:r>
      <w:proofErr w:type="spellStart"/>
      <w:r w:rsidRPr="00EA2D12">
        <w:rPr>
          <w:rFonts w:cs="Tahoma"/>
        </w:rPr>
        <w:t>Braille’a</w:t>
      </w:r>
      <w:proofErr w:type="spellEnd"/>
      <w:r w:rsidRPr="00EA2D12">
        <w:rPr>
          <w:rFonts w:cs="Tahoma"/>
        </w:rPr>
        <w:t xml:space="preserve"> w Bydgoszczy (SOSW).</w:t>
      </w:r>
    </w:p>
    <w:p w:rsidR="006875D8" w:rsidRDefault="006875D8" w:rsidP="006875D8">
      <w:pPr>
        <w:pStyle w:val="Akapitzlist"/>
        <w:spacing w:after="0" w:line="240" w:lineRule="auto"/>
        <w:ind w:left="0"/>
        <w:jc w:val="both"/>
        <w:rPr>
          <w:rFonts w:cs="Tahoma"/>
        </w:rPr>
      </w:pPr>
    </w:p>
    <w:p w:rsidR="006E0F71" w:rsidRDefault="006E0F71" w:rsidP="006875D8">
      <w:pPr>
        <w:pStyle w:val="Akapitzlist"/>
        <w:spacing w:after="0" w:line="240" w:lineRule="auto"/>
        <w:ind w:left="0"/>
        <w:jc w:val="both"/>
        <w:rPr>
          <w:rFonts w:cs="Tahoma"/>
        </w:rPr>
      </w:pPr>
    </w:p>
    <w:p w:rsidR="006875D8" w:rsidRDefault="006875D8" w:rsidP="006875D8">
      <w:pPr>
        <w:spacing w:after="0" w:line="240" w:lineRule="auto"/>
        <w:jc w:val="both"/>
        <w:rPr>
          <w:rFonts w:cs="Tahoma"/>
        </w:rPr>
      </w:pPr>
    </w:p>
    <w:p w:rsidR="006875D8" w:rsidRDefault="006875D8" w:rsidP="006875D8">
      <w:pPr>
        <w:spacing w:after="0" w:line="240" w:lineRule="auto"/>
        <w:jc w:val="both"/>
        <w:rPr>
          <w:rFonts w:cs="Tahoma"/>
        </w:rPr>
      </w:pPr>
      <w:r w:rsidRPr="00AF791A">
        <w:rPr>
          <w:rFonts w:cs="Tahoma"/>
          <w:b/>
        </w:rPr>
        <w:t>Program funkcjonalno-użytkowy należy sporządzić zgodnie z</w:t>
      </w:r>
      <w:r>
        <w:rPr>
          <w:rFonts w:cs="Tahoma"/>
        </w:rPr>
        <w:t xml:space="preserve"> </w:t>
      </w:r>
      <w:r w:rsidRPr="005F7BF2">
        <w:rPr>
          <w:b/>
          <w:bCs/>
          <w:sz w:val="23"/>
          <w:szCs w:val="23"/>
        </w:rPr>
        <w:t>Założenia</w:t>
      </w:r>
      <w:r>
        <w:rPr>
          <w:b/>
          <w:bCs/>
          <w:sz w:val="23"/>
          <w:szCs w:val="23"/>
        </w:rPr>
        <w:t>mi</w:t>
      </w:r>
      <w:r w:rsidRPr="005F7BF2">
        <w:rPr>
          <w:b/>
          <w:bCs/>
          <w:sz w:val="23"/>
          <w:szCs w:val="23"/>
        </w:rPr>
        <w:t xml:space="preserve"> do opracowania programu funkcjonalno– użytkowego zadania inwestycyjnego </w:t>
      </w:r>
      <w:r w:rsidR="006E0F71" w:rsidRPr="00B66A1D">
        <w:rPr>
          <w:b/>
        </w:rPr>
        <w:t>„</w:t>
      </w:r>
      <w:r w:rsidR="006E0F71" w:rsidRPr="00137B5D">
        <w:rPr>
          <w:b/>
        </w:rPr>
        <w:t xml:space="preserve">Dostrzec to, co niewidoczne” – zwiększenie dostępności do edukacji przedszkolnej w ośrodku </w:t>
      </w:r>
      <w:proofErr w:type="spellStart"/>
      <w:r w:rsidR="006E0F71" w:rsidRPr="00137B5D">
        <w:rPr>
          <w:b/>
        </w:rPr>
        <w:t>Braille’a</w:t>
      </w:r>
      <w:proofErr w:type="spellEnd"/>
      <w:r w:rsidR="006E0F71" w:rsidRPr="00137B5D">
        <w:rPr>
          <w:b/>
        </w:rPr>
        <w:t xml:space="preserve"> </w:t>
      </w:r>
      <w:r w:rsidR="006E0F71">
        <w:rPr>
          <w:b/>
        </w:rPr>
        <w:t>w Bydgoszczy, k</w:t>
      </w:r>
      <w:r>
        <w:rPr>
          <w:b/>
          <w:bCs/>
          <w:sz w:val="23"/>
          <w:szCs w:val="23"/>
        </w:rPr>
        <w:t>tóre stanowią załącznik nr 1 do niniejszego zapytania ofertowego. Termin wykonania przedmiotu umowy – do 45 dni kalendarzowych od momentu zawarcia umowy.</w:t>
      </w:r>
    </w:p>
    <w:p w:rsidR="006875D8" w:rsidRPr="001A4062" w:rsidRDefault="006875D8" w:rsidP="00687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875D8" w:rsidRDefault="006875D8" w:rsidP="006875D8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 w:rsidRPr="00AF791A">
        <w:rPr>
          <w:b/>
        </w:rPr>
        <w:t xml:space="preserve">Formalne wymogi przygotowania zamówienia. </w:t>
      </w:r>
    </w:p>
    <w:p w:rsidR="006875D8" w:rsidRPr="00AF791A" w:rsidRDefault="006875D8" w:rsidP="006875D8">
      <w:pPr>
        <w:pStyle w:val="Akapitzlist"/>
        <w:spacing w:after="0" w:line="240" w:lineRule="auto"/>
        <w:jc w:val="both"/>
        <w:rPr>
          <w:b/>
        </w:rPr>
      </w:pP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  <w:r w:rsidRPr="001A4062">
        <w:rPr>
          <w:rFonts w:cs="Arial"/>
          <w:bCs/>
          <w:i/>
          <w:color w:val="auto"/>
          <w:sz w:val="22"/>
          <w:szCs w:val="22"/>
        </w:rPr>
        <w:t xml:space="preserve">1. Program funkcjonalno-użytkowy należy wykonać zgodnie z przepisami Rozporządzenia Ministra Infrastruktury z dnia 2 września 2004 r. w sprawie szczegółowego zakresu i formy dokumentacji projektowej, specyfikacji technicznych wykonania i odbioru robót budowlanych oraz programu funkcjonalno-użytkowego (Dz. U. z 2013 r., poz. 1129). </w:t>
      </w: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  <w:r w:rsidRPr="001A4062">
        <w:rPr>
          <w:rFonts w:cs="Arial"/>
          <w:bCs/>
          <w:i/>
          <w:color w:val="auto"/>
          <w:sz w:val="22"/>
          <w:szCs w:val="22"/>
        </w:rPr>
        <w:t xml:space="preserve">2. Program funkcjonalno-użytkowy powinien zawierać: </w:t>
      </w: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  <w:r w:rsidRPr="001A4062">
        <w:rPr>
          <w:rFonts w:cs="Arial"/>
          <w:bCs/>
          <w:i/>
          <w:color w:val="auto"/>
          <w:sz w:val="22"/>
          <w:szCs w:val="22"/>
        </w:rPr>
        <w:t xml:space="preserve">a) koncepcję zagospodarowania działek z uwzględnieniem możliwości terenowo-prawnych, oraz harmonogram realizacji inwestycji, wraz z podziałem na kolejne etapy dla poszczególnych zadań; </w:t>
      </w: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  <w:r w:rsidRPr="001A4062">
        <w:rPr>
          <w:rFonts w:cs="Arial"/>
          <w:bCs/>
          <w:i/>
          <w:color w:val="auto"/>
          <w:sz w:val="22"/>
          <w:szCs w:val="22"/>
        </w:rPr>
        <w:t xml:space="preserve">b) koncepcję rozbudowy i modernizacji budynków w tym: </w:t>
      </w: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  <w:r w:rsidRPr="001A4062">
        <w:rPr>
          <w:rFonts w:cs="Arial"/>
          <w:bCs/>
          <w:i/>
          <w:color w:val="auto"/>
          <w:sz w:val="22"/>
          <w:szCs w:val="22"/>
        </w:rPr>
        <w:t xml:space="preserve">- część opisową z określeniem pomieszczeń ich funkcji, powierzchni, ilości osób z nich korzystających oraz określeniem standardu ich wykończenia, wraz z podaniem zapotrzebowania na wodę, ciepło, energię elektryczną itp. oraz z uwzględnieniem zastosowania w projekcie odnawialnych źródeł energii; </w:t>
      </w: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  <w:r w:rsidRPr="001A4062">
        <w:rPr>
          <w:rFonts w:cs="Arial"/>
          <w:bCs/>
          <w:i/>
          <w:color w:val="auto"/>
          <w:sz w:val="22"/>
          <w:szCs w:val="22"/>
        </w:rPr>
        <w:t xml:space="preserve">- część rysunkową z zestawieniem pomieszczeń; </w:t>
      </w: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  <w:r w:rsidRPr="001A4062">
        <w:rPr>
          <w:rFonts w:cs="Arial"/>
          <w:bCs/>
          <w:i/>
          <w:color w:val="auto"/>
          <w:sz w:val="22"/>
          <w:szCs w:val="22"/>
        </w:rPr>
        <w:t xml:space="preserve">- wizualizację obiektu zewnętrzną i wewnętrzną (wraz z poszczególnymi kondygnacjami i stałym wyposażeniem); </w:t>
      </w: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  <w:r w:rsidRPr="001A4062">
        <w:rPr>
          <w:rFonts w:cs="Arial"/>
          <w:bCs/>
          <w:i/>
          <w:color w:val="auto"/>
          <w:sz w:val="22"/>
          <w:szCs w:val="22"/>
        </w:rPr>
        <w:t xml:space="preserve">c) program funkcjonalno-użytkowy powinien być skonsultowany i zaopiniowany przez osobę posiadającą doświadczenie w opracowaniu dokumentacji projektowej zgodnie z pkt. 4 zapytania ofertowego. </w:t>
      </w: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  <w:r w:rsidRPr="001A4062">
        <w:rPr>
          <w:rFonts w:cs="Arial"/>
          <w:bCs/>
          <w:i/>
          <w:color w:val="auto"/>
          <w:sz w:val="22"/>
          <w:szCs w:val="22"/>
        </w:rPr>
        <w:t xml:space="preserve">3. W ramach Zbiorczego Zestawienia Kosztów należy wyszczególnić wszystkie szacunkowe koszty i opłaty związane z realizacją robót na podstawie PFU, w tym koszty wykonania przyłączy oraz sporządzenia pozostałej dokumentacji projektowej: projektu budowlanego, projektu wykonawczego, koniecznych ekspertyz, sprawowania nadzoru autorskiego i inwestorskiego oraz inne wynikające z realizacji przedmiotowego zamierzenia; zgodnie z warunkami określonymi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130, poz. 1389) oraz ustawy z dnia 27 marca 2003 r. o planowaniu i zagospodarowaniu przestrzennym (Dz. U. z 2016 poz. 778). </w:t>
      </w: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  <w:r w:rsidRPr="001A4062">
        <w:rPr>
          <w:rFonts w:cs="Arial"/>
          <w:bCs/>
          <w:i/>
          <w:color w:val="auto"/>
          <w:sz w:val="22"/>
          <w:szCs w:val="22"/>
        </w:rPr>
        <w:t xml:space="preserve">4. Zamawiający zastrzega, że przy realizacji zadania Wykonawca, w ramach obowiązku wymienionego w § 19 </w:t>
      </w:r>
      <w:proofErr w:type="spellStart"/>
      <w:r w:rsidRPr="001A4062">
        <w:rPr>
          <w:rFonts w:cs="Arial"/>
          <w:bCs/>
          <w:i/>
          <w:color w:val="auto"/>
          <w:sz w:val="22"/>
          <w:szCs w:val="22"/>
        </w:rPr>
        <w:t>pkt</w:t>
      </w:r>
      <w:proofErr w:type="spellEnd"/>
      <w:r w:rsidRPr="001A4062">
        <w:rPr>
          <w:rFonts w:cs="Arial"/>
          <w:bCs/>
          <w:i/>
          <w:color w:val="auto"/>
          <w:sz w:val="22"/>
          <w:szCs w:val="22"/>
        </w:rPr>
        <w:t xml:space="preserve"> 1 Rozporządzenia Ministra Infrastruktury z dnia 2 września 2004 r. w sprawie szczegółowego zakresu i formy dokumentacji projektowej, specyfikacji technicznych wykonania i odbioru robót budowlanych oraz programu funkcjonalno-użytkowego (obowiązek zawarcia w części informacyjnej PFU dokumentów potwierdzających zgodność zamierzenia budowlanego z wymaganiami wynikającymi z odrębnych przepisów) – nie jest zobowiązany do dokumentu w zakresie potwierdzenia zgodności zamierzenia w odniesieniu do zapisów miejscowego planu zagospodarowania przestrzennego dla terenów na których planowana jest realizacja zamierzenia. </w:t>
      </w: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</w:p>
    <w:p w:rsidR="006875D8" w:rsidRPr="001A4062" w:rsidRDefault="006875D8" w:rsidP="006875D8">
      <w:pPr>
        <w:pStyle w:val="Default"/>
        <w:jc w:val="both"/>
        <w:rPr>
          <w:rFonts w:cs="Arial"/>
          <w:bCs/>
          <w:i/>
          <w:color w:val="auto"/>
          <w:sz w:val="22"/>
          <w:szCs w:val="22"/>
        </w:rPr>
      </w:pPr>
      <w:r>
        <w:rPr>
          <w:rFonts w:cs="Arial"/>
          <w:bCs/>
          <w:i/>
          <w:color w:val="auto"/>
          <w:sz w:val="22"/>
          <w:szCs w:val="22"/>
        </w:rPr>
        <w:t>5</w:t>
      </w:r>
      <w:r w:rsidRPr="001A4062">
        <w:rPr>
          <w:rFonts w:cs="Arial"/>
          <w:bCs/>
          <w:i/>
          <w:color w:val="auto"/>
          <w:sz w:val="22"/>
          <w:szCs w:val="22"/>
        </w:rPr>
        <w:t xml:space="preserve">. Wykonawca, własnym staraniem uzyska wszelkie materiały i uzgodnienia niezbędne do realizacji przedmiotu zamówienia. Zamawiający udzieli niezbędnych pełnomocnictw do wykonania przedmiotu zamówienia. </w:t>
      </w:r>
    </w:p>
    <w:p w:rsidR="006875D8" w:rsidRPr="00B33DC7" w:rsidRDefault="006875D8" w:rsidP="006875D8">
      <w:pPr>
        <w:spacing w:after="0" w:line="240" w:lineRule="auto"/>
        <w:jc w:val="both"/>
        <w:rPr>
          <w:b/>
        </w:rPr>
      </w:pPr>
    </w:p>
    <w:p w:rsidR="006875D8" w:rsidRPr="00B33DC7" w:rsidRDefault="006875D8" w:rsidP="006875D8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 w:rsidRPr="00B33DC7">
        <w:rPr>
          <w:b/>
          <w:bCs/>
        </w:rPr>
        <w:t xml:space="preserve">Opis kryteriów, którymi Zamawiający będzie się kierował przy wyborze oferty oraz określenie znaczenia poszczególnych kryteriów </w:t>
      </w: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  <w:r w:rsidRPr="00B33DC7">
        <w:rPr>
          <w:sz w:val="22"/>
          <w:szCs w:val="22"/>
        </w:rPr>
        <w:t xml:space="preserve">Sposób oceny ofert: </w:t>
      </w: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</w:p>
    <w:p w:rsidR="006875D8" w:rsidRPr="00B33DC7" w:rsidRDefault="006875D8" w:rsidP="006875D8">
      <w:pPr>
        <w:pStyle w:val="Default"/>
        <w:jc w:val="both"/>
        <w:rPr>
          <w:b/>
          <w:sz w:val="22"/>
          <w:szCs w:val="22"/>
        </w:rPr>
      </w:pPr>
      <w:r w:rsidRPr="00B33DC7">
        <w:rPr>
          <w:b/>
          <w:sz w:val="22"/>
          <w:szCs w:val="22"/>
        </w:rPr>
        <w:t xml:space="preserve">Kryterium „cena” (waga </w:t>
      </w:r>
      <w:r>
        <w:rPr>
          <w:b/>
          <w:sz w:val="22"/>
          <w:szCs w:val="22"/>
        </w:rPr>
        <w:t>10</w:t>
      </w:r>
      <w:r w:rsidRPr="00B33DC7">
        <w:rPr>
          <w:b/>
          <w:sz w:val="22"/>
          <w:szCs w:val="22"/>
        </w:rPr>
        <w:t xml:space="preserve">0%): </w:t>
      </w: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  <w:r w:rsidRPr="00B33DC7">
        <w:rPr>
          <w:sz w:val="22"/>
          <w:szCs w:val="22"/>
        </w:rPr>
        <w:t xml:space="preserve">Cena brutto oferty najtańszej </w:t>
      </w: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  <w:r w:rsidRPr="00B33DC7">
        <w:rPr>
          <w:sz w:val="22"/>
          <w:szCs w:val="22"/>
        </w:rPr>
        <w:t xml:space="preserve">------------------------------------ x100 x </w:t>
      </w:r>
      <w:r>
        <w:rPr>
          <w:sz w:val="22"/>
          <w:szCs w:val="22"/>
        </w:rPr>
        <w:t>10</w:t>
      </w:r>
      <w:r w:rsidRPr="00B33DC7">
        <w:rPr>
          <w:sz w:val="22"/>
          <w:szCs w:val="22"/>
        </w:rPr>
        <w:t xml:space="preserve">0% = liczba punktów </w:t>
      </w: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  <w:r w:rsidRPr="00B33DC7">
        <w:rPr>
          <w:sz w:val="22"/>
          <w:szCs w:val="22"/>
        </w:rPr>
        <w:t xml:space="preserve">Cena brutto oferty badanej </w:t>
      </w:r>
    </w:p>
    <w:p w:rsidR="006875D8" w:rsidRPr="00B33DC7" w:rsidRDefault="006875D8" w:rsidP="006875D8">
      <w:pPr>
        <w:pStyle w:val="Default"/>
        <w:jc w:val="both"/>
        <w:rPr>
          <w:sz w:val="22"/>
          <w:szCs w:val="22"/>
        </w:rPr>
      </w:pPr>
    </w:p>
    <w:p w:rsidR="006875D8" w:rsidRDefault="006875D8" w:rsidP="006875D8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 w:rsidRPr="00B33DC7">
        <w:rPr>
          <w:b/>
        </w:rPr>
        <w:t>Warunki j</w:t>
      </w:r>
      <w:r>
        <w:rPr>
          <w:b/>
        </w:rPr>
        <w:t>akie musi spełniać potencjalny W</w:t>
      </w:r>
      <w:r w:rsidRPr="00B33DC7">
        <w:rPr>
          <w:b/>
        </w:rPr>
        <w:t xml:space="preserve">ykonawca zamówienia </w:t>
      </w:r>
    </w:p>
    <w:p w:rsidR="006875D8" w:rsidRPr="00B33DC7" w:rsidRDefault="006875D8" w:rsidP="006875D8">
      <w:pPr>
        <w:pStyle w:val="Akapitzlist"/>
        <w:spacing w:after="0" w:line="240" w:lineRule="auto"/>
        <w:jc w:val="both"/>
        <w:rPr>
          <w:b/>
        </w:rPr>
      </w:pPr>
    </w:p>
    <w:p w:rsidR="006875D8" w:rsidRPr="00B33DC7" w:rsidRDefault="006875D8" w:rsidP="006875D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B33DC7">
        <w:rPr>
          <w:bCs/>
        </w:rPr>
        <w:t xml:space="preserve">Wykonawca ubiegający się o otrzymanie wyżej opisanego zamówienia powinien: </w:t>
      </w:r>
    </w:p>
    <w:p w:rsidR="006875D8" w:rsidRPr="00D92D2E" w:rsidRDefault="006875D8" w:rsidP="006875D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33DC7">
        <w:rPr>
          <w:rFonts w:ascii="Calibri" w:eastAsia="Calibri" w:hAnsi="Calibri"/>
          <w:bCs/>
          <w:sz w:val="22"/>
          <w:szCs w:val="22"/>
          <w:lang w:eastAsia="en-US"/>
        </w:rPr>
        <w:t>posiadać u</w:t>
      </w:r>
      <w:r w:rsidRPr="00B33DC7">
        <w:rPr>
          <w:rFonts w:ascii="Calibri" w:hAnsi="Calibri"/>
          <w:sz w:val="22"/>
          <w:szCs w:val="22"/>
        </w:rPr>
        <w:t xml:space="preserve">prawnienia do wykonywania określonej działalności lub czynności w zakresie odpowiadającym </w:t>
      </w:r>
      <w:r w:rsidRPr="00D92D2E">
        <w:rPr>
          <w:rFonts w:ascii="Calibri" w:hAnsi="Calibri"/>
          <w:sz w:val="22"/>
          <w:szCs w:val="22"/>
        </w:rPr>
        <w:t>przedmiotowi zamówienia;</w:t>
      </w:r>
    </w:p>
    <w:p w:rsidR="006875D8" w:rsidRPr="00B33DC7" w:rsidRDefault="006875D8" w:rsidP="006875D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92D2E">
        <w:rPr>
          <w:rFonts w:ascii="Calibri" w:hAnsi="Calibri"/>
          <w:sz w:val="22"/>
          <w:szCs w:val="22"/>
        </w:rPr>
        <w:t>zapewnić (w ramach ceny w odpowiedzi na ofertę) gotowość do wprowadzenia zmian w </w:t>
      </w:r>
      <w:r>
        <w:rPr>
          <w:rFonts w:ascii="Calibri" w:hAnsi="Calibri"/>
          <w:sz w:val="22"/>
          <w:szCs w:val="22"/>
        </w:rPr>
        <w:t>programie funkcjonalno użytkowym</w:t>
      </w:r>
      <w:r w:rsidRPr="00D92D2E">
        <w:rPr>
          <w:rFonts w:ascii="Calibri" w:hAnsi="Calibri"/>
          <w:sz w:val="22"/>
          <w:szCs w:val="22"/>
        </w:rPr>
        <w:t xml:space="preserve"> na każde wezwanie Zamawiającego, aż do momentu zaakceptowania przez </w:t>
      </w:r>
      <w:r>
        <w:rPr>
          <w:rFonts w:ascii="Calibri" w:hAnsi="Calibri"/>
          <w:sz w:val="22"/>
          <w:szCs w:val="22"/>
        </w:rPr>
        <w:t>Województwo</w:t>
      </w:r>
      <w:r w:rsidRPr="00D92D2E">
        <w:rPr>
          <w:rFonts w:ascii="Calibri" w:hAnsi="Calibri"/>
          <w:sz w:val="22"/>
          <w:szCs w:val="22"/>
        </w:rPr>
        <w:t xml:space="preserve"> </w:t>
      </w:r>
      <w:r w:rsidRPr="00B33DC7">
        <w:rPr>
          <w:rFonts w:ascii="Calibri" w:hAnsi="Calibri"/>
          <w:color w:val="000000"/>
          <w:sz w:val="22"/>
          <w:szCs w:val="22"/>
        </w:rPr>
        <w:t>Kujawsko-Pomorskie wniosku aplikacyjnego o  dofinansowanie projektu,</w:t>
      </w:r>
    </w:p>
    <w:p w:rsidR="006875D8" w:rsidRPr="00834A94" w:rsidRDefault="006875D8" w:rsidP="006875D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33DC7">
        <w:rPr>
          <w:rFonts w:ascii="Calibri" w:hAnsi="Calibri"/>
          <w:color w:val="000000"/>
          <w:sz w:val="22"/>
          <w:szCs w:val="22"/>
        </w:rPr>
        <w:t xml:space="preserve">zapewnić stały kontakt z przedstawicielami Zamawiającego, w celu monitorowania postępu prac nad opracowaniem </w:t>
      </w:r>
      <w:r>
        <w:rPr>
          <w:rFonts w:ascii="Calibri" w:hAnsi="Calibri"/>
          <w:color w:val="000000"/>
          <w:sz w:val="22"/>
          <w:szCs w:val="22"/>
        </w:rPr>
        <w:t>programu funkcjonalno użytkowego</w:t>
      </w:r>
      <w:r w:rsidRPr="00B33DC7">
        <w:rPr>
          <w:rFonts w:ascii="Calibri" w:hAnsi="Calibri"/>
          <w:color w:val="000000"/>
          <w:sz w:val="22"/>
          <w:szCs w:val="22"/>
        </w:rPr>
        <w:t>. Oferta Wykonawcy powinna zawierać w tym zakresie opis sposobu organizacji pracy i przepływu informacji, zapewniających terminową realizację zadań.</w:t>
      </w:r>
    </w:p>
    <w:p w:rsidR="00834A94" w:rsidRPr="008E67A7" w:rsidRDefault="00834A94" w:rsidP="00834A9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E67A7">
        <w:rPr>
          <w:rFonts w:ascii="Calibri" w:hAnsi="Calibri"/>
          <w:sz w:val="22"/>
          <w:szCs w:val="22"/>
        </w:rPr>
        <w:t xml:space="preserve">przedstawić: co najmniej 5 referencji dot. opracowania </w:t>
      </w:r>
      <w:r>
        <w:rPr>
          <w:rFonts w:ascii="Calibri" w:hAnsi="Calibri"/>
          <w:bCs/>
          <w:sz w:val="22"/>
          <w:szCs w:val="22"/>
        </w:rPr>
        <w:t xml:space="preserve">programu funkcjonalno-użytkowego </w:t>
      </w:r>
      <w:r w:rsidRPr="008E67A7">
        <w:rPr>
          <w:rFonts w:ascii="Calibri" w:hAnsi="Calibri"/>
          <w:sz w:val="22"/>
          <w:szCs w:val="22"/>
        </w:rPr>
        <w:t xml:space="preserve">w ramach </w:t>
      </w:r>
      <w:r w:rsidRPr="00336C95">
        <w:rPr>
          <w:rFonts w:ascii="Calibri" w:hAnsi="Calibri"/>
          <w:sz w:val="22"/>
          <w:szCs w:val="22"/>
        </w:rPr>
        <w:t>programów operacyjnych,</w:t>
      </w:r>
      <w:r w:rsidRPr="008E67A7">
        <w:rPr>
          <w:rFonts w:ascii="Calibri" w:hAnsi="Calibri"/>
          <w:sz w:val="22"/>
          <w:szCs w:val="22"/>
        </w:rPr>
        <w:t xml:space="preserve"> na podstawie których przyznane zostało dofinansowanie projektu, przy czym wartość projektu ogółem wynosiła co najmniej 4 mln zł</w:t>
      </w:r>
      <w:r>
        <w:rPr>
          <w:rFonts w:ascii="Calibri" w:hAnsi="Calibri"/>
          <w:sz w:val="22"/>
          <w:szCs w:val="22"/>
        </w:rPr>
        <w:t>,</w:t>
      </w:r>
    </w:p>
    <w:p w:rsidR="00834A94" w:rsidRPr="00B33DC7" w:rsidRDefault="00834A94" w:rsidP="00834A9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6875D8" w:rsidRPr="00B33DC7" w:rsidRDefault="006875D8" w:rsidP="006875D8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75D8" w:rsidRPr="001E5BDA" w:rsidRDefault="006875D8" w:rsidP="006875D8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rPr>
          <w:b/>
          <w:color w:val="000000"/>
        </w:rPr>
        <w:t>Termin realizacji</w:t>
      </w:r>
    </w:p>
    <w:p w:rsidR="006875D8" w:rsidRPr="00B33DC7" w:rsidRDefault="006875D8" w:rsidP="006875D8">
      <w:pPr>
        <w:pStyle w:val="Akapitzlist"/>
        <w:spacing w:after="0" w:line="240" w:lineRule="auto"/>
        <w:jc w:val="both"/>
        <w:rPr>
          <w:b/>
        </w:rPr>
      </w:pPr>
    </w:p>
    <w:p w:rsidR="006875D8" w:rsidRPr="00B33DC7" w:rsidRDefault="006875D8" w:rsidP="006875D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E54CA">
        <w:rPr>
          <w:rFonts w:ascii="Calibri" w:hAnsi="Calibri"/>
          <w:bCs/>
          <w:sz w:val="22"/>
          <w:szCs w:val="22"/>
        </w:rPr>
        <w:t xml:space="preserve">Przewidywany termin na wykonania zamówienia w przypadku jego udzielenia to </w:t>
      </w:r>
      <w:r w:rsidRPr="00016D9D">
        <w:rPr>
          <w:rFonts w:ascii="Calibri" w:hAnsi="Calibri"/>
          <w:bCs/>
          <w:sz w:val="22"/>
          <w:szCs w:val="22"/>
        </w:rPr>
        <w:t>45</w:t>
      </w:r>
      <w:r w:rsidRPr="001E54CA">
        <w:rPr>
          <w:rFonts w:ascii="Calibri" w:hAnsi="Calibri"/>
          <w:bCs/>
          <w:sz w:val="22"/>
          <w:szCs w:val="22"/>
        </w:rPr>
        <w:t xml:space="preserve"> dni od daty zawarcia umowy.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B33DC7">
        <w:rPr>
          <w:rFonts w:ascii="Calibri" w:hAnsi="Calibri"/>
          <w:bCs/>
          <w:sz w:val="22"/>
          <w:szCs w:val="22"/>
        </w:rPr>
        <w:t xml:space="preserve">Zamawiający w terminie 5 dni roboczych od dnia przekazania wstępnej wersji </w:t>
      </w:r>
      <w:r>
        <w:rPr>
          <w:rFonts w:ascii="Calibri" w:hAnsi="Calibri"/>
          <w:bCs/>
          <w:sz w:val="22"/>
          <w:szCs w:val="22"/>
        </w:rPr>
        <w:t xml:space="preserve">programu funkcjonalno-użytkowego </w:t>
      </w:r>
      <w:r w:rsidRPr="00B33DC7">
        <w:rPr>
          <w:rFonts w:ascii="Calibri" w:hAnsi="Calibri"/>
          <w:bCs/>
          <w:sz w:val="22"/>
          <w:szCs w:val="22"/>
        </w:rPr>
        <w:t>przedstawi swoje uwagi. Wykonawca niezwłocznie, jednak nie później niż w terminie 5 dni roboczych, uwzględni uwagi Zamawiającego.</w:t>
      </w:r>
    </w:p>
    <w:p w:rsidR="006875D8" w:rsidRPr="00B33DC7" w:rsidRDefault="006875D8" w:rsidP="006875D8">
      <w:pPr>
        <w:spacing w:after="0" w:line="240" w:lineRule="auto"/>
        <w:jc w:val="both"/>
      </w:pPr>
    </w:p>
    <w:p w:rsidR="006875D8" w:rsidRDefault="006875D8" w:rsidP="006875D8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 w:rsidRPr="00B33DC7">
        <w:rPr>
          <w:b/>
        </w:rPr>
        <w:t>Termin i sposób składania ofert oraz adres na jaki należy złożyć ofertę</w:t>
      </w:r>
    </w:p>
    <w:p w:rsidR="006875D8" w:rsidRPr="00B33DC7" w:rsidRDefault="006875D8" w:rsidP="006875D8">
      <w:pPr>
        <w:pStyle w:val="Akapitzlist"/>
        <w:spacing w:after="0" w:line="240" w:lineRule="auto"/>
        <w:jc w:val="both"/>
        <w:rPr>
          <w:b/>
        </w:rPr>
      </w:pPr>
    </w:p>
    <w:p w:rsidR="006875D8" w:rsidRPr="00A90799" w:rsidRDefault="006875D8" w:rsidP="006875D8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A90799">
        <w:t xml:space="preserve">Ofertę należy złożyć w zamkniętej kopercie w Punkcie Informacyjno-Podawczym (parter) Urzędu Marszałkowskiego Województwa Kujawsko-Pomorskiego, ul. Plac Teatralny 2, 87-100 Toruń w terminie </w:t>
      </w:r>
      <w:r w:rsidRPr="005801E7">
        <w:t xml:space="preserve">do </w:t>
      </w:r>
      <w:r w:rsidR="006E0F71">
        <w:rPr>
          <w:b/>
        </w:rPr>
        <w:t>27.07.2018</w:t>
      </w:r>
      <w:r w:rsidRPr="004B2492">
        <w:rPr>
          <w:b/>
        </w:rPr>
        <w:t xml:space="preserve"> r. do godz. 1</w:t>
      </w:r>
      <w:r w:rsidR="006E0F71">
        <w:rPr>
          <w:b/>
        </w:rPr>
        <w:t>4:00</w:t>
      </w:r>
      <w:r w:rsidRPr="005801E7">
        <w:t xml:space="preserve"> i oznaczyć „Opracowanie </w:t>
      </w:r>
      <w:r>
        <w:t>programu funkcjonalno użytkowego</w:t>
      </w:r>
      <w:r w:rsidRPr="005801E7">
        <w:t xml:space="preserve"> – </w:t>
      </w:r>
      <w:r w:rsidR="006E0F71">
        <w:t>6.3.1</w:t>
      </w:r>
      <w:r w:rsidR="007B5D3B">
        <w:t xml:space="preserve"> RPO WKP, </w:t>
      </w:r>
      <w:r w:rsidR="007B5D3B" w:rsidRPr="007B5D3B">
        <w:t xml:space="preserve">„Dostrzec to, co niewidoczne” – zwiększenie dostępności do edukacji przedszkolnej w ośrodku </w:t>
      </w:r>
      <w:proofErr w:type="spellStart"/>
      <w:r w:rsidR="007B5D3B" w:rsidRPr="007B5D3B">
        <w:t>Braille’a</w:t>
      </w:r>
      <w:proofErr w:type="spellEnd"/>
      <w:r w:rsidR="007B5D3B" w:rsidRPr="007B5D3B">
        <w:t xml:space="preserve"> w Bydgoszczy, </w:t>
      </w:r>
      <w:r w:rsidRPr="005801E7">
        <w:t>Departament Eduka</w:t>
      </w:r>
      <w:r w:rsidR="007B5D3B">
        <w:t>cji i Kształcenia Ustawicznego”.</w:t>
      </w:r>
    </w:p>
    <w:p w:rsidR="006875D8" w:rsidRPr="00B33DC7" w:rsidRDefault="006875D8" w:rsidP="006875D8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B33DC7">
        <w:t>Za termin złożenia oferty przyjmuje się datę wpływu ofert do Zamawiającego.</w:t>
      </w:r>
    </w:p>
    <w:p w:rsidR="006875D8" w:rsidRPr="00B33DC7" w:rsidRDefault="006875D8" w:rsidP="006875D8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B33DC7">
        <w:t xml:space="preserve">Oferta złożona po terminie składania ofert do Zamawiającego zostanie odrzucona. </w:t>
      </w:r>
    </w:p>
    <w:p w:rsidR="006875D8" w:rsidRPr="00B33DC7" w:rsidRDefault="006875D8" w:rsidP="006875D8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B33DC7">
        <w:lastRenderedPageBreak/>
        <w:t>Oferent określi w przedłożonej ofercie łączną cenę brutto za realizację przedmiotu zamówienia.</w:t>
      </w:r>
    </w:p>
    <w:p w:rsidR="006875D8" w:rsidRPr="00B33DC7" w:rsidRDefault="006875D8" w:rsidP="006875D8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B33DC7">
        <w:t>Cenę oferty należy podać w złotych polskich z uwzględnieniem obowiązującej stawki VAT.</w:t>
      </w:r>
    </w:p>
    <w:p w:rsidR="006875D8" w:rsidRPr="00497DE7" w:rsidRDefault="006875D8" w:rsidP="006875D8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497DE7">
        <w:rPr>
          <w:b/>
          <w:u w:val="single"/>
        </w:rPr>
        <w:t>Do oferty pod rygorem jej odrzucenia należy załączyć:</w:t>
      </w:r>
    </w:p>
    <w:p w:rsidR="006875D8" w:rsidRPr="00B33DC7" w:rsidRDefault="006875D8" w:rsidP="006875D8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</w:t>
      </w:r>
      <w:r w:rsidRPr="00B33DC7">
        <w:t xml:space="preserve">ypełniony i podpisany </w:t>
      </w:r>
      <w:r w:rsidR="007B5D3B" w:rsidRPr="00B33DC7">
        <w:t>Formularz</w:t>
      </w:r>
      <w:r w:rsidRPr="00B33DC7">
        <w:t xml:space="preserve"> oferty z</w:t>
      </w:r>
      <w:r>
        <w:t>godny ze wzorem – załącznik nr 2 do niniejszego zapytania.</w:t>
      </w:r>
    </w:p>
    <w:p w:rsidR="006875D8" w:rsidRPr="00B33DC7" w:rsidRDefault="006875D8" w:rsidP="006875D8">
      <w:pPr>
        <w:pStyle w:val="Akapitzlist"/>
        <w:spacing w:after="0" w:line="240" w:lineRule="auto"/>
        <w:jc w:val="both"/>
        <w:rPr>
          <w:b/>
          <w:color w:val="FF0000"/>
        </w:rPr>
      </w:pPr>
    </w:p>
    <w:p w:rsidR="006875D8" w:rsidRPr="00B33DC7" w:rsidRDefault="006875D8" w:rsidP="006875D8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B33DC7">
        <w:rPr>
          <w:rFonts w:ascii="Calibri" w:hAnsi="Calibri"/>
          <w:b/>
          <w:sz w:val="22"/>
          <w:szCs w:val="22"/>
        </w:rPr>
        <w:t>Informacje dodatkowe</w:t>
      </w:r>
      <w:r w:rsidRPr="00B33DC7">
        <w:rPr>
          <w:rFonts w:ascii="Calibri" w:hAnsi="Calibri"/>
          <w:sz w:val="22"/>
          <w:szCs w:val="22"/>
        </w:rPr>
        <w:t>:</w:t>
      </w:r>
    </w:p>
    <w:p w:rsidR="006875D8" w:rsidRPr="00B33DC7" w:rsidRDefault="006875D8" w:rsidP="006875D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33DC7">
        <w:rPr>
          <w:rFonts w:ascii="Calibri" w:hAnsi="Calibri"/>
          <w:sz w:val="22"/>
          <w:szCs w:val="22"/>
        </w:rPr>
        <w:t>Informacja o wyborze Wykonawcy zostanie przekazana mailowo</w:t>
      </w:r>
      <w:r>
        <w:rPr>
          <w:rFonts w:ascii="Calibri" w:hAnsi="Calibri"/>
          <w:sz w:val="22"/>
          <w:szCs w:val="22"/>
        </w:rPr>
        <w:t xml:space="preserve"> w okresie 7 dni roboczych od zakończenia naboru ofert</w:t>
      </w:r>
      <w:r w:rsidRPr="00B33DC7">
        <w:rPr>
          <w:rFonts w:ascii="Calibri" w:hAnsi="Calibri"/>
          <w:sz w:val="22"/>
          <w:szCs w:val="22"/>
        </w:rPr>
        <w:t>.</w:t>
      </w:r>
    </w:p>
    <w:p w:rsidR="006875D8" w:rsidRPr="00B33DC7" w:rsidRDefault="006875D8" w:rsidP="006875D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33DC7">
        <w:rPr>
          <w:rFonts w:ascii="Calibri" w:hAnsi="Calibri"/>
          <w:sz w:val="22"/>
          <w:szCs w:val="22"/>
        </w:rPr>
        <w:t>Zamawiający zastrzega sobie możliwość niedokonania wyboru Wykonawcy, bez podawania przyczyny.</w:t>
      </w:r>
    </w:p>
    <w:p w:rsidR="006875D8" w:rsidRPr="00E823E2" w:rsidRDefault="006875D8" w:rsidP="006875D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  <w:u w:val="single"/>
        </w:rPr>
      </w:pPr>
      <w:r w:rsidRPr="00B33DC7">
        <w:rPr>
          <w:rFonts w:ascii="Calibri" w:hAnsi="Calibri"/>
          <w:sz w:val="22"/>
          <w:szCs w:val="22"/>
        </w:rPr>
        <w:t xml:space="preserve">Osoba do kontaktu w kwestiach dot. zamówienia </w:t>
      </w:r>
      <w:r>
        <w:rPr>
          <w:rFonts w:ascii="Calibri" w:hAnsi="Calibri"/>
          <w:sz w:val="22"/>
          <w:szCs w:val="22"/>
        </w:rPr>
        <w:t>–</w:t>
      </w:r>
      <w:r w:rsidRPr="00B33DC7">
        <w:rPr>
          <w:rFonts w:ascii="Calibri" w:hAnsi="Calibri"/>
          <w:sz w:val="22"/>
          <w:szCs w:val="22"/>
        </w:rPr>
        <w:t xml:space="preserve"> </w:t>
      </w:r>
      <w:r w:rsidR="007B5D3B">
        <w:rPr>
          <w:rFonts w:ascii="Calibri" w:hAnsi="Calibri"/>
          <w:sz w:val="22"/>
          <w:szCs w:val="22"/>
        </w:rPr>
        <w:t xml:space="preserve">Agata Niedźwiecka </w:t>
      </w:r>
      <w:r>
        <w:rPr>
          <w:rFonts w:ascii="Calibri" w:hAnsi="Calibri"/>
          <w:sz w:val="22"/>
          <w:szCs w:val="22"/>
        </w:rPr>
        <w:t xml:space="preserve"> tel.</w:t>
      </w:r>
      <w:r w:rsidR="007B5D3B" w:rsidRPr="007B5D3B">
        <w:rPr>
          <w:rFonts w:ascii="Lato" w:eastAsia="Calibri" w:hAnsi="Lato"/>
          <w:color w:val="414141"/>
          <w:sz w:val="23"/>
          <w:szCs w:val="23"/>
          <w:shd w:val="clear" w:color="auto" w:fill="FFFFFF"/>
          <w:lang w:eastAsia="en-US"/>
        </w:rPr>
        <w:t xml:space="preserve"> </w:t>
      </w:r>
      <w:r w:rsidR="007B5D3B" w:rsidRPr="007B5D3B">
        <w:rPr>
          <w:rFonts w:ascii="Calibri" w:hAnsi="Calibri"/>
          <w:sz w:val="22"/>
          <w:szCs w:val="22"/>
        </w:rPr>
        <w:t>571 293 082</w:t>
      </w:r>
      <w:r w:rsidRPr="005801E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Departament </w:t>
      </w:r>
      <w:r w:rsidRPr="00B933E2">
        <w:rPr>
          <w:rFonts w:ascii="Calibri" w:hAnsi="Calibri"/>
          <w:sz w:val="22"/>
          <w:szCs w:val="22"/>
        </w:rPr>
        <w:t>Edukacji i Kształcenia Ustawicznego</w:t>
      </w:r>
      <w:r>
        <w:rPr>
          <w:rFonts w:ascii="Calibri" w:hAnsi="Calibri"/>
          <w:sz w:val="22"/>
          <w:szCs w:val="22"/>
        </w:rPr>
        <w:t xml:space="preserve">, </w:t>
      </w:r>
      <w:r w:rsidRPr="001E54CA">
        <w:rPr>
          <w:rFonts w:ascii="Calibri" w:hAnsi="Calibri"/>
          <w:sz w:val="22"/>
          <w:szCs w:val="22"/>
        </w:rPr>
        <w:t>Biuro Rozwoju Jednostek Edukacyjnych</w:t>
      </w:r>
      <w:r>
        <w:rPr>
          <w:rFonts w:ascii="Calibri" w:hAnsi="Calibri"/>
          <w:sz w:val="22"/>
          <w:szCs w:val="22"/>
        </w:rPr>
        <w:t xml:space="preserve"> </w:t>
      </w:r>
      <w:r w:rsidRPr="001E54CA">
        <w:rPr>
          <w:rFonts w:ascii="Calibri" w:hAnsi="Calibri"/>
          <w:sz w:val="22"/>
          <w:szCs w:val="22"/>
        </w:rPr>
        <w:t>Urząd Marszałkowski Województwa Kujawsko-Pomorskiego.</w:t>
      </w:r>
    </w:p>
    <w:p w:rsidR="006875D8" w:rsidRPr="00E823E2" w:rsidRDefault="006875D8" w:rsidP="006875D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W przypadku odrzucenia złożonego projektu z powodu uzyskania negatywnej oceny formalnej czy merytorycznej odnoszącej się do programu funkcjonalno-użytkowego Wykonawca zobowiązuje się do dokonania zwrotu wynagrodzenia na rzecz Zamawiającego. Niniejszy zapis wprowadzony będzie w treść zawieranej umowy.</w:t>
      </w:r>
    </w:p>
    <w:p w:rsidR="006875D8" w:rsidRPr="00B33DC7" w:rsidRDefault="006875D8" w:rsidP="006875D8">
      <w:pPr>
        <w:pStyle w:val="NormalnyWeb"/>
        <w:spacing w:before="0" w:beforeAutospacing="0" w:after="0" w:afterAutospacing="0"/>
        <w:ind w:left="720"/>
        <w:jc w:val="both"/>
        <w:rPr>
          <w:rStyle w:val="Hipercze"/>
          <w:rFonts w:ascii="Calibri" w:hAnsi="Calibri"/>
          <w:sz w:val="22"/>
          <w:szCs w:val="22"/>
        </w:rPr>
      </w:pPr>
    </w:p>
    <w:p w:rsidR="006875D8" w:rsidRPr="00B33DC7" w:rsidRDefault="006875D8" w:rsidP="006875D8">
      <w:pPr>
        <w:spacing w:after="0" w:line="240" w:lineRule="auto"/>
        <w:jc w:val="both"/>
        <w:rPr>
          <w:b/>
        </w:rPr>
      </w:pPr>
    </w:p>
    <w:p w:rsidR="006875D8" w:rsidRDefault="006875D8" w:rsidP="006875D8">
      <w:pPr>
        <w:spacing w:after="0" w:line="240" w:lineRule="auto"/>
        <w:jc w:val="both"/>
        <w:rPr>
          <w:b/>
        </w:rPr>
      </w:pPr>
      <w:r w:rsidRPr="00B33DC7">
        <w:rPr>
          <w:b/>
        </w:rPr>
        <w:t>Załączniki:</w:t>
      </w:r>
    </w:p>
    <w:p w:rsidR="006875D8" w:rsidRPr="001A4062" w:rsidRDefault="006875D8" w:rsidP="006875D8">
      <w:pPr>
        <w:spacing w:after="0" w:line="240" w:lineRule="auto"/>
        <w:jc w:val="both"/>
      </w:pPr>
      <w:r w:rsidRPr="003F1951">
        <w:t xml:space="preserve">Załącznik nr 1 </w:t>
      </w:r>
      <w:r w:rsidRPr="001A4062">
        <w:t xml:space="preserve">- </w:t>
      </w:r>
      <w:r w:rsidRPr="001A4062">
        <w:rPr>
          <w:bCs/>
          <w:sz w:val="23"/>
          <w:szCs w:val="23"/>
        </w:rPr>
        <w:t>Założenia do opr</w:t>
      </w:r>
      <w:r>
        <w:rPr>
          <w:bCs/>
          <w:sz w:val="23"/>
          <w:szCs w:val="23"/>
        </w:rPr>
        <w:t>acowania programu funkcjonalno–</w:t>
      </w:r>
      <w:r w:rsidR="00834A94">
        <w:rPr>
          <w:bCs/>
          <w:sz w:val="23"/>
          <w:szCs w:val="23"/>
        </w:rPr>
        <w:t xml:space="preserve"> </w:t>
      </w:r>
      <w:r w:rsidRPr="001A4062">
        <w:rPr>
          <w:bCs/>
          <w:sz w:val="23"/>
          <w:szCs w:val="23"/>
        </w:rPr>
        <w:t>użytkowego zadania inwestycyjnego</w:t>
      </w:r>
    </w:p>
    <w:p w:rsidR="006875D8" w:rsidRPr="003F1951" w:rsidRDefault="006875D8" w:rsidP="006875D8">
      <w:pPr>
        <w:spacing w:after="0" w:line="240" w:lineRule="auto"/>
        <w:jc w:val="both"/>
      </w:pPr>
      <w:r w:rsidRPr="003F1951">
        <w:t xml:space="preserve">Załącznik nr 2 – Formularz oferty </w:t>
      </w:r>
    </w:p>
    <w:p w:rsidR="0040204C" w:rsidRDefault="0040204C" w:rsidP="001E5BDA">
      <w:pPr>
        <w:spacing w:after="0" w:line="240" w:lineRule="auto"/>
        <w:jc w:val="both"/>
        <w:rPr>
          <w:b/>
        </w:rPr>
      </w:pPr>
    </w:p>
    <w:sectPr w:rsidR="0040204C" w:rsidSect="007F3488">
      <w:headerReference w:type="default" r:id="rId7"/>
      <w:headerReference w:type="first" r:id="rId8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F5" w:rsidRDefault="006B45F5" w:rsidP="004C6AFF">
      <w:pPr>
        <w:spacing w:after="0" w:line="240" w:lineRule="auto"/>
      </w:pPr>
      <w:r>
        <w:separator/>
      </w:r>
    </w:p>
  </w:endnote>
  <w:endnote w:type="continuationSeparator" w:id="0">
    <w:p w:rsidR="006B45F5" w:rsidRDefault="006B45F5" w:rsidP="004C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F5" w:rsidRDefault="006B45F5" w:rsidP="004C6AFF">
      <w:pPr>
        <w:spacing w:after="0" w:line="240" w:lineRule="auto"/>
      </w:pPr>
      <w:r>
        <w:separator/>
      </w:r>
    </w:p>
  </w:footnote>
  <w:footnote w:type="continuationSeparator" w:id="0">
    <w:p w:rsidR="006B45F5" w:rsidRDefault="006B45F5" w:rsidP="004C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F5" w:rsidRDefault="006B45F5">
    <w:pPr>
      <w:pStyle w:val="Nagwek"/>
    </w:pPr>
  </w:p>
  <w:p w:rsidR="006B45F5" w:rsidRDefault="006B45F5">
    <w:pPr>
      <w:pStyle w:val="Nagwek"/>
    </w:pPr>
  </w:p>
  <w:p w:rsidR="006B45F5" w:rsidRDefault="006B45F5">
    <w:pPr>
      <w:pStyle w:val="Nagwek"/>
    </w:pPr>
  </w:p>
  <w:p w:rsidR="006B45F5" w:rsidRDefault="006B45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F5" w:rsidRDefault="006B45F5">
    <w:pPr>
      <w:pStyle w:val="Nagwek"/>
    </w:pPr>
    <w:r>
      <w:rPr>
        <w:rFonts w:cs="Arial"/>
        <w:noProof/>
        <w:sz w:val="28"/>
        <w:szCs w:val="28"/>
        <w:lang w:eastAsia="pl-PL"/>
      </w:rPr>
      <w:drawing>
        <wp:inline distT="0" distB="0" distL="0" distR="0">
          <wp:extent cx="5762625" cy="1238250"/>
          <wp:effectExtent l="19050" t="0" r="9525" b="0"/>
          <wp:docPr id="3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45F5" w:rsidRDefault="006B45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2E0"/>
    <w:multiLevelType w:val="hybridMultilevel"/>
    <w:tmpl w:val="EE1C3744"/>
    <w:lvl w:ilvl="0" w:tplc="DEF0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417E62"/>
    <w:multiLevelType w:val="hybridMultilevel"/>
    <w:tmpl w:val="81BA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66E6"/>
    <w:multiLevelType w:val="hybridMultilevel"/>
    <w:tmpl w:val="06FE8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632"/>
    <w:multiLevelType w:val="hybridMultilevel"/>
    <w:tmpl w:val="E8746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2656"/>
    <w:multiLevelType w:val="hybridMultilevel"/>
    <w:tmpl w:val="47E48BFC"/>
    <w:lvl w:ilvl="0" w:tplc="AEE875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D353F"/>
    <w:multiLevelType w:val="hybridMultilevel"/>
    <w:tmpl w:val="1066581E"/>
    <w:lvl w:ilvl="0" w:tplc="DEF021C2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3F34D9"/>
    <w:multiLevelType w:val="hybridMultilevel"/>
    <w:tmpl w:val="5236326A"/>
    <w:lvl w:ilvl="0" w:tplc="12D24E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" w:hanging="360"/>
      </w:pPr>
    </w:lvl>
    <w:lvl w:ilvl="2" w:tplc="0415001B" w:tentative="1">
      <w:start w:val="1"/>
      <w:numFmt w:val="lowerRoman"/>
      <w:lvlText w:val="%3."/>
      <w:lvlJc w:val="right"/>
      <w:pPr>
        <w:ind w:left="933" w:hanging="180"/>
      </w:pPr>
    </w:lvl>
    <w:lvl w:ilvl="3" w:tplc="0415000F" w:tentative="1">
      <w:start w:val="1"/>
      <w:numFmt w:val="decimal"/>
      <w:lvlText w:val="%4."/>
      <w:lvlJc w:val="left"/>
      <w:pPr>
        <w:ind w:left="1653" w:hanging="360"/>
      </w:pPr>
    </w:lvl>
    <w:lvl w:ilvl="4" w:tplc="04150019" w:tentative="1">
      <w:start w:val="1"/>
      <w:numFmt w:val="lowerLetter"/>
      <w:lvlText w:val="%5."/>
      <w:lvlJc w:val="left"/>
      <w:pPr>
        <w:ind w:left="2373" w:hanging="360"/>
      </w:pPr>
    </w:lvl>
    <w:lvl w:ilvl="5" w:tplc="0415001B" w:tentative="1">
      <w:start w:val="1"/>
      <w:numFmt w:val="lowerRoman"/>
      <w:lvlText w:val="%6."/>
      <w:lvlJc w:val="right"/>
      <w:pPr>
        <w:ind w:left="3093" w:hanging="180"/>
      </w:pPr>
    </w:lvl>
    <w:lvl w:ilvl="6" w:tplc="0415000F" w:tentative="1">
      <w:start w:val="1"/>
      <w:numFmt w:val="decimal"/>
      <w:lvlText w:val="%7."/>
      <w:lvlJc w:val="left"/>
      <w:pPr>
        <w:ind w:left="3813" w:hanging="360"/>
      </w:pPr>
    </w:lvl>
    <w:lvl w:ilvl="7" w:tplc="04150019" w:tentative="1">
      <w:start w:val="1"/>
      <w:numFmt w:val="lowerLetter"/>
      <w:lvlText w:val="%8."/>
      <w:lvlJc w:val="left"/>
      <w:pPr>
        <w:ind w:left="4533" w:hanging="360"/>
      </w:pPr>
    </w:lvl>
    <w:lvl w:ilvl="8" w:tplc="0415001B" w:tentative="1">
      <w:start w:val="1"/>
      <w:numFmt w:val="lowerRoman"/>
      <w:lvlText w:val="%9."/>
      <w:lvlJc w:val="right"/>
      <w:pPr>
        <w:ind w:left="5253" w:hanging="180"/>
      </w:pPr>
    </w:lvl>
  </w:abstractNum>
  <w:abstractNum w:abstractNumId="8">
    <w:nsid w:val="5E5B1BF7"/>
    <w:multiLevelType w:val="hybridMultilevel"/>
    <w:tmpl w:val="606EC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B91"/>
    <w:multiLevelType w:val="hybridMultilevel"/>
    <w:tmpl w:val="CB783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C6AFF"/>
    <w:rsid w:val="00016D9D"/>
    <w:rsid w:val="00022E92"/>
    <w:rsid w:val="00063E2C"/>
    <w:rsid w:val="00076139"/>
    <w:rsid w:val="0009086D"/>
    <w:rsid w:val="00091247"/>
    <w:rsid w:val="00091E27"/>
    <w:rsid w:val="000F1B00"/>
    <w:rsid w:val="0010529F"/>
    <w:rsid w:val="0010693B"/>
    <w:rsid w:val="00114439"/>
    <w:rsid w:val="00121295"/>
    <w:rsid w:val="0012411D"/>
    <w:rsid w:val="0012704A"/>
    <w:rsid w:val="001425F3"/>
    <w:rsid w:val="00156616"/>
    <w:rsid w:val="0016253E"/>
    <w:rsid w:val="001805E1"/>
    <w:rsid w:val="00191085"/>
    <w:rsid w:val="001E5BDA"/>
    <w:rsid w:val="0020705D"/>
    <w:rsid w:val="002718D8"/>
    <w:rsid w:val="002F61C0"/>
    <w:rsid w:val="0030726A"/>
    <w:rsid w:val="00316A2E"/>
    <w:rsid w:val="00326E5A"/>
    <w:rsid w:val="00336C95"/>
    <w:rsid w:val="00343024"/>
    <w:rsid w:val="003444C4"/>
    <w:rsid w:val="00351CAB"/>
    <w:rsid w:val="00383D2F"/>
    <w:rsid w:val="003A198A"/>
    <w:rsid w:val="003B072F"/>
    <w:rsid w:val="004007DB"/>
    <w:rsid w:val="0040204C"/>
    <w:rsid w:val="00477F18"/>
    <w:rsid w:val="00481310"/>
    <w:rsid w:val="004A468B"/>
    <w:rsid w:val="004B080E"/>
    <w:rsid w:val="004B3ABE"/>
    <w:rsid w:val="004C6AFF"/>
    <w:rsid w:val="004D1BAC"/>
    <w:rsid w:val="004F5307"/>
    <w:rsid w:val="00534D50"/>
    <w:rsid w:val="00553E15"/>
    <w:rsid w:val="00553EDC"/>
    <w:rsid w:val="00565B5F"/>
    <w:rsid w:val="005A54CA"/>
    <w:rsid w:val="005B0225"/>
    <w:rsid w:val="005C69F7"/>
    <w:rsid w:val="005D638A"/>
    <w:rsid w:val="006037B9"/>
    <w:rsid w:val="00615276"/>
    <w:rsid w:val="006308AA"/>
    <w:rsid w:val="006838A2"/>
    <w:rsid w:val="006875D8"/>
    <w:rsid w:val="00690AC4"/>
    <w:rsid w:val="0069219E"/>
    <w:rsid w:val="006B45F5"/>
    <w:rsid w:val="006E0F71"/>
    <w:rsid w:val="006E6183"/>
    <w:rsid w:val="006F4FC0"/>
    <w:rsid w:val="007022C1"/>
    <w:rsid w:val="00711A21"/>
    <w:rsid w:val="0073130C"/>
    <w:rsid w:val="0076453F"/>
    <w:rsid w:val="00791006"/>
    <w:rsid w:val="007B12FC"/>
    <w:rsid w:val="007B5D3B"/>
    <w:rsid w:val="007B61D1"/>
    <w:rsid w:val="007F3488"/>
    <w:rsid w:val="0081466F"/>
    <w:rsid w:val="008170D3"/>
    <w:rsid w:val="008257A4"/>
    <w:rsid w:val="00834A94"/>
    <w:rsid w:val="008572B7"/>
    <w:rsid w:val="008B533F"/>
    <w:rsid w:val="008C3FB9"/>
    <w:rsid w:val="008E67A7"/>
    <w:rsid w:val="00944D3D"/>
    <w:rsid w:val="0096039E"/>
    <w:rsid w:val="009707DC"/>
    <w:rsid w:val="009A15B8"/>
    <w:rsid w:val="00A3066E"/>
    <w:rsid w:val="00A574BF"/>
    <w:rsid w:val="00A75B6A"/>
    <w:rsid w:val="00A81D8B"/>
    <w:rsid w:val="00AA54C3"/>
    <w:rsid w:val="00AB4473"/>
    <w:rsid w:val="00AC2296"/>
    <w:rsid w:val="00B3332A"/>
    <w:rsid w:val="00B36C36"/>
    <w:rsid w:val="00B54E17"/>
    <w:rsid w:val="00B56195"/>
    <w:rsid w:val="00B60559"/>
    <w:rsid w:val="00B753A4"/>
    <w:rsid w:val="00B92F5D"/>
    <w:rsid w:val="00B92FB0"/>
    <w:rsid w:val="00B933E2"/>
    <w:rsid w:val="00BB320F"/>
    <w:rsid w:val="00BC2D36"/>
    <w:rsid w:val="00BF148C"/>
    <w:rsid w:val="00C022F1"/>
    <w:rsid w:val="00C107F9"/>
    <w:rsid w:val="00C3579D"/>
    <w:rsid w:val="00C5094C"/>
    <w:rsid w:val="00C74FD2"/>
    <w:rsid w:val="00C86B0C"/>
    <w:rsid w:val="00CB1063"/>
    <w:rsid w:val="00D174A8"/>
    <w:rsid w:val="00D466F9"/>
    <w:rsid w:val="00D4739E"/>
    <w:rsid w:val="00D605F2"/>
    <w:rsid w:val="00D67CF9"/>
    <w:rsid w:val="00DA3A1B"/>
    <w:rsid w:val="00DE115F"/>
    <w:rsid w:val="00DF2909"/>
    <w:rsid w:val="00E33164"/>
    <w:rsid w:val="00E454A9"/>
    <w:rsid w:val="00E66329"/>
    <w:rsid w:val="00EA2D12"/>
    <w:rsid w:val="00F176D5"/>
    <w:rsid w:val="00F20236"/>
    <w:rsid w:val="00F72CA1"/>
    <w:rsid w:val="00F75323"/>
    <w:rsid w:val="00FA60CC"/>
    <w:rsid w:val="00FC7A07"/>
    <w:rsid w:val="00FF177E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A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A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A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6AF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6AF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632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6632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B0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8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0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6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39E"/>
  </w:style>
  <w:style w:type="paragraph" w:customStyle="1" w:styleId="Default">
    <w:name w:val="Default"/>
    <w:rsid w:val="002070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0705D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7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0705D"/>
    <w:rPr>
      <w:color w:val="0563C1"/>
      <w:u w:val="single"/>
    </w:rPr>
  </w:style>
  <w:style w:type="paragraph" w:styleId="Lista">
    <w:name w:val="List"/>
    <w:basedOn w:val="Normalny"/>
    <w:rsid w:val="0040204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022C1"/>
    <w:rPr>
      <w:b/>
      <w:bCs/>
    </w:rPr>
  </w:style>
  <w:style w:type="character" w:customStyle="1" w:styleId="xbe">
    <w:name w:val="_xbe"/>
    <w:rsid w:val="00944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m.lyzwa</dc:creator>
  <cp:keywords/>
  <dc:description/>
  <cp:lastModifiedBy>Agata Niedzwiecka</cp:lastModifiedBy>
  <cp:revision>7</cp:revision>
  <cp:lastPrinted>2018-07-16T13:07:00Z</cp:lastPrinted>
  <dcterms:created xsi:type="dcterms:W3CDTF">2018-07-16T07:25:00Z</dcterms:created>
  <dcterms:modified xsi:type="dcterms:W3CDTF">2018-07-17T08:31:00Z</dcterms:modified>
</cp:coreProperties>
</file>