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A2B" w:rsidRDefault="00101A2B">
      <w:pPr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101A2B" w:rsidRDefault="00101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101A2B" w:rsidRDefault="00101A2B">
      <w:pPr>
        <w:pStyle w:val="Nagwek1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2F5EDF" w:rsidRDefault="002F5EDF" w:rsidP="002F5EDF">
      <w:pPr>
        <w:jc w:val="center"/>
        <w:rPr>
          <w:b/>
        </w:rPr>
      </w:pPr>
      <w:bookmarkStart w:id="0" w:name="h_fssttziwppsv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101A2B" w:rsidRDefault="00101A2B">
      <w:pPr>
        <w:pStyle w:val="Nagwek1"/>
        <w:jc w:val="both"/>
      </w:pPr>
      <w:r>
        <w:t>ST 0</w:t>
      </w:r>
      <w:r w:rsidR="00D45368">
        <w:t>4</w:t>
      </w:r>
      <w:r>
        <w:t>.09 Roboty malarskie</w:t>
      </w:r>
    </w:p>
    <w:p w:rsidR="00101A2B" w:rsidRDefault="00101A2B">
      <w:pPr>
        <w:jc w:val="both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101A2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1A2B" w:rsidRDefault="00101A2B">
            <w:pPr>
              <w:spacing w:line="240" w:lineRule="auto"/>
              <w:jc w:val="both"/>
            </w:pPr>
            <w:r>
              <w:t>CPV 45400000-1 Roboty wykończeniowe</w:t>
            </w:r>
          </w:p>
        </w:tc>
      </w:tr>
    </w:tbl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101A2B" w:rsidRDefault="00101A2B">
      <w:pPr>
        <w:jc w:val="both"/>
        <w:rPr>
          <w:b/>
          <w:bCs/>
        </w:rPr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Szczegółowa Specyfikacja Techniczna jest stosowana jako dokument przetargowy i kontraktowy przy zlecaniu i realizacji robót wymienionych poniżej.</w:t>
      </w:r>
    </w:p>
    <w:p w:rsidR="00101A2B" w:rsidRDefault="00101A2B">
      <w:pPr>
        <w:jc w:val="both"/>
      </w:pPr>
      <w:r>
        <w:t xml:space="preserve">Przedmiotem tej części ST są wymagania dotyczące wykonania i odbioru robót malarskich. 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Obejmują następujący zakres:</w:t>
      </w:r>
    </w:p>
    <w:p w:rsidR="00101A2B" w:rsidRDefault="00101A2B">
      <w:pPr>
        <w:jc w:val="both"/>
      </w:pPr>
      <w:r>
        <w:t>- Wymalowania ścian wewnętrznych tynkowanych.</w:t>
      </w:r>
    </w:p>
    <w:p w:rsidR="00101A2B" w:rsidRDefault="00101A2B">
      <w:pPr>
        <w:jc w:val="both"/>
      </w:pPr>
      <w:r>
        <w:t>- Wymalowania sufitów tynkowanych.</w:t>
      </w:r>
    </w:p>
    <w:p w:rsidR="00101A2B" w:rsidRDefault="00101A2B">
      <w:pPr>
        <w:jc w:val="both"/>
      </w:pPr>
      <w:r>
        <w:t>- Wymalowania płyt GK na ścianach i sufitach.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2. MATERIAŁY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Materiały:</w:t>
      </w:r>
    </w:p>
    <w:p w:rsidR="00101A2B" w:rsidRDefault="00101A2B">
      <w:pPr>
        <w:jc w:val="both"/>
      </w:pPr>
      <w:r>
        <w:t>- środki gruntujące,</w:t>
      </w:r>
    </w:p>
    <w:p w:rsidR="00101A2B" w:rsidRDefault="00101A2B">
      <w:pPr>
        <w:jc w:val="both"/>
      </w:pPr>
      <w:r>
        <w:t>- farba podkładowa,</w:t>
      </w:r>
    </w:p>
    <w:p w:rsidR="00101A2B" w:rsidRDefault="00101A2B">
      <w:pPr>
        <w:jc w:val="both"/>
      </w:pPr>
      <w:r>
        <w:t xml:space="preserve">- farba wierzchniego krycia: </w:t>
      </w:r>
      <w:r w:rsidRPr="00945EE7">
        <w:rPr>
          <w:shd w:val="clear" w:color="auto" w:fill="FFFFFF"/>
        </w:rPr>
        <w:t>akrylowa</w:t>
      </w:r>
      <w:r>
        <w:rPr>
          <w:shd w:val="clear" w:color="auto" w:fill="FFFFFF"/>
        </w:rPr>
        <w:t xml:space="preserve"> lateksowa z wykończeniem</w:t>
      </w:r>
      <w:r w:rsidRPr="00945EE7">
        <w:rPr>
          <w:shd w:val="clear" w:color="auto" w:fill="FFFFFF"/>
        </w:rPr>
        <w:t xml:space="preserve"> satyn</w:t>
      </w:r>
      <w:r>
        <w:rPr>
          <w:shd w:val="clear" w:color="auto" w:fill="FFFFFF"/>
        </w:rPr>
        <w:t>owym,</w:t>
      </w:r>
      <w:r>
        <w:t xml:space="preserve"> zmywalna, o podwyższonej odporności na ścieranie; kolor wg dokumentacji projektowej,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3. SPRZĘT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lastRenderedPageBreak/>
        <w:t>4. TRANSPORT</w:t>
      </w: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  <w:r>
        <w:t>Farby chronić przed zamarznięciem i promieniowaniem słonecznym. Przechowywać w opakowaniach szczelnie zamkniętych w temperaturze 5-25st.C.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5. WYKONANIE ROBÓT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Przed przystąpieniem do robot malarskich należy przeprowadzić kontrole podłoża przeznaczonego do malowania.</w:t>
      </w:r>
    </w:p>
    <w:p w:rsidR="00101A2B" w:rsidRDefault="00101A2B">
      <w:pPr>
        <w:jc w:val="both"/>
      </w:pPr>
      <w:r>
        <w:t>Kontrola powinna obejmować:</w:t>
      </w:r>
    </w:p>
    <w:p w:rsidR="00101A2B" w:rsidRDefault="00101A2B">
      <w:pPr>
        <w:jc w:val="both"/>
      </w:pPr>
      <w:r>
        <w:t>- zgodność z projektem.</w:t>
      </w:r>
    </w:p>
    <w:p w:rsidR="00101A2B" w:rsidRDefault="00101A2B">
      <w:pPr>
        <w:jc w:val="both"/>
      </w:pPr>
      <w:r>
        <w:t>- równość i wygląd powierzchni.</w:t>
      </w:r>
    </w:p>
    <w:p w:rsidR="00101A2B" w:rsidRDefault="00101A2B">
      <w:pPr>
        <w:jc w:val="both"/>
      </w:pPr>
      <w:r>
        <w:t>- naprawy i uzupełnienia.</w:t>
      </w:r>
    </w:p>
    <w:p w:rsidR="00101A2B" w:rsidRDefault="00101A2B">
      <w:pPr>
        <w:jc w:val="both"/>
      </w:pPr>
      <w:r>
        <w:t>- zabezpieczenia elementów metalowych.</w:t>
      </w:r>
    </w:p>
    <w:p w:rsidR="00101A2B" w:rsidRDefault="00101A2B">
      <w:pPr>
        <w:jc w:val="both"/>
      </w:pPr>
      <w:r>
        <w:t>- wilgotność.</w:t>
      </w:r>
    </w:p>
    <w:p w:rsidR="00101A2B" w:rsidRDefault="00101A2B">
      <w:pPr>
        <w:jc w:val="both"/>
      </w:pPr>
      <w:r>
        <w:t>Wygląd powierzchni tynków należy ocenić wizualnie z odległości 1m w rozproszonym świetle dziennym lub sztucznym. Zapylenie powierzchni należy ocenić przez potarcie powierzchni suchą i czystą ręką.</w:t>
      </w:r>
    </w:p>
    <w:p w:rsidR="00101A2B" w:rsidRDefault="00101A2B">
      <w:pPr>
        <w:jc w:val="both"/>
      </w:pPr>
      <w:r>
        <w:t>Prace malarskie nie powinny być prowadzone w temperaturze poniżej +5st.C i powyżej +25 st. C. W pomieszczeniach zamkniętych przy pracach malarskich należy zapewnić odpowiednią wentylację.</w:t>
      </w:r>
    </w:p>
    <w:p w:rsidR="00101A2B" w:rsidRDefault="00101A2B">
      <w:pPr>
        <w:jc w:val="both"/>
      </w:pPr>
      <w:r>
        <w:t>Prace malarskie należy wykonać zgodnie z instrukcją producenta w zakresie:</w:t>
      </w:r>
    </w:p>
    <w:p w:rsidR="00101A2B" w:rsidRDefault="00101A2B">
      <w:pPr>
        <w:jc w:val="both"/>
      </w:pPr>
      <w:r>
        <w:t>- stosowania środka gruntującego lub podkładowego,</w:t>
      </w:r>
    </w:p>
    <w:p w:rsidR="00101A2B" w:rsidRDefault="00101A2B">
      <w:pPr>
        <w:jc w:val="both"/>
      </w:pPr>
      <w:r>
        <w:t>- sposobu przygotowania farby,</w:t>
      </w:r>
    </w:p>
    <w:p w:rsidR="00101A2B" w:rsidRDefault="00101A2B">
      <w:pPr>
        <w:jc w:val="both"/>
      </w:pPr>
      <w:r>
        <w:t>- sposobu nakładania farby (pędzlem, wałkiem, natryskiem),</w:t>
      </w:r>
    </w:p>
    <w:p w:rsidR="00101A2B" w:rsidRDefault="00101A2B">
      <w:pPr>
        <w:jc w:val="both"/>
      </w:pPr>
      <w:r>
        <w:t>- krotności nakładania farby oraz jej zużycia na 1m</w:t>
      </w:r>
      <w:r>
        <w:rPr>
          <w:vertAlign w:val="superscript"/>
        </w:rPr>
        <w:t>2,</w:t>
      </w:r>
    </w:p>
    <w:p w:rsidR="00101A2B" w:rsidRDefault="00101A2B">
      <w:pPr>
        <w:jc w:val="both"/>
      </w:pPr>
      <w:r>
        <w:t>- czasu między nakładaniem kolejnych warstw,</w:t>
      </w:r>
    </w:p>
    <w:p w:rsidR="00101A2B" w:rsidRDefault="00101A2B">
      <w:pPr>
        <w:jc w:val="both"/>
      </w:pPr>
      <w:r>
        <w:t>- zaleceń w zakresie bhp.</w:t>
      </w:r>
    </w:p>
    <w:p w:rsidR="00101A2B" w:rsidRDefault="00101A2B">
      <w:pPr>
        <w:jc w:val="both"/>
      </w:pPr>
      <w:r>
        <w:t>Elementy i powierzchnie budynku, które w czasie malowania mogą ulec zabrudzeniu, należy</w:t>
      </w:r>
    </w:p>
    <w:p w:rsidR="00101A2B" w:rsidRDefault="00101A2B">
      <w:pPr>
        <w:jc w:val="both"/>
      </w:pPr>
      <w:r>
        <w:t>zabezpieczyć przed zabrudzeniem. Przed przystąpieniem do robót malarskich w części istniejącej budynku ocenić konieczność stosowania farb podkładowych np. w przypadku przemalowania powierzchni na jaśniejszą niż aktualna.</w:t>
      </w:r>
    </w:p>
    <w:p w:rsidR="00101A2B" w:rsidRDefault="00101A2B">
      <w:pPr>
        <w:jc w:val="both"/>
      </w:pPr>
      <w:r>
        <w:t>Wymagania w stosunku do powłok z farb dyspersyjnych:</w:t>
      </w:r>
    </w:p>
    <w:p w:rsidR="00101A2B" w:rsidRDefault="00101A2B">
      <w:pPr>
        <w:jc w:val="both"/>
      </w:pPr>
      <w:r>
        <w:t>- jednolita barwa, bez smug, plam, zgodne z wzorcem producenta i dokumentacją,</w:t>
      </w:r>
    </w:p>
    <w:p w:rsidR="00101A2B" w:rsidRDefault="00101A2B">
      <w:pPr>
        <w:jc w:val="both"/>
      </w:pPr>
      <w:r>
        <w:t>- bez uszkodzeń, smug, prześwitów podłoża, plam, śladów pędzla,</w:t>
      </w:r>
    </w:p>
    <w:p w:rsidR="00101A2B" w:rsidRDefault="00101A2B">
      <w:pPr>
        <w:jc w:val="both"/>
      </w:pPr>
      <w:r>
        <w:t>- bez złuszczeń, odstawania od podłoża oraz widocznych łączeń i poprawek,</w:t>
      </w:r>
    </w:p>
    <w:p w:rsidR="00101A2B" w:rsidRDefault="00101A2B">
      <w:pPr>
        <w:jc w:val="both"/>
      </w:pPr>
      <w:r>
        <w:t>- chropowatość powierzchni odpowiadająca rodzajowi faktury pokrywanego</w:t>
      </w:r>
    </w:p>
    <w:p w:rsidR="00101A2B" w:rsidRDefault="00101A2B">
      <w:pPr>
        <w:jc w:val="both"/>
      </w:pPr>
      <w:r>
        <w:t>podłoża i stosowanej farby.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6. KONTROLA JAKOŚCI</w:t>
      </w:r>
    </w:p>
    <w:p w:rsidR="00101A2B" w:rsidRDefault="00101A2B">
      <w:pPr>
        <w:jc w:val="both"/>
        <w:rPr>
          <w:b/>
          <w:bCs/>
        </w:rPr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Badanie powłok przy ich odbiorze należy przeprowadzić po ich zakończeniu, nie wcześniej niż po 14 dniach.</w:t>
      </w:r>
    </w:p>
    <w:p w:rsidR="00101A2B" w:rsidRDefault="00101A2B">
      <w:pPr>
        <w:jc w:val="both"/>
      </w:pPr>
      <w:r>
        <w:t>Kontrola obejmuje:</w:t>
      </w:r>
    </w:p>
    <w:p w:rsidR="00101A2B" w:rsidRDefault="00101A2B">
      <w:pPr>
        <w:jc w:val="both"/>
      </w:pPr>
      <w:r>
        <w:t>- sprawdzenie wyglądu zewnętrznego: wizualnie w świetle rozproszonym z odległości 0,5m,</w:t>
      </w:r>
    </w:p>
    <w:p w:rsidR="00101A2B" w:rsidRDefault="00101A2B">
      <w:pPr>
        <w:jc w:val="both"/>
      </w:pPr>
      <w:r>
        <w:t>- sprawdzenie zgodności barwy i połysku – porównanie z wzorcem producenta,</w:t>
      </w:r>
    </w:p>
    <w:p w:rsidR="00101A2B" w:rsidRDefault="00101A2B">
      <w:pPr>
        <w:jc w:val="both"/>
      </w:pPr>
      <w:r>
        <w:t>- sprawdzenie odporności na wycieranie – lekkie, kilkukrotne pocieranie powłoki szmatką bawełnianą (na szmatce nie zostają ślady farby),</w:t>
      </w:r>
    </w:p>
    <w:p w:rsidR="00101A2B" w:rsidRDefault="00101A2B">
      <w:pPr>
        <w:jc w:val="both"/>
      </w:pPr>
      <w:r>
        <w:t>- sprawdzenie przyczepności powłoki – nacięcia ok. 10 kwadratów o boku dł. 5mm skalpelem, przetarcie pędzlem naciętej powierzchni (przyczepność dobra, jeżeli żaden z kwadratów nie odpadnie).</w:t>
      </w:r>
    </w:p>
    <w:p w:rsidR="00101A2B" w:rsidRDefault="00101A2B">
      <w:pPr>
        <w:jc w:val="both"/>
      </w:pPr>
      <w:r>
        <w:t>Wyniki badań i kontroli powłok powinny być odnotowane w formie protokołu.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7. OBMIAR ROBÓT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Ilości określać w jednostkach kosztorysowych lub innych ustalonych z Inżynierem.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8. ODBIÓR ROBÓT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Podstawę klasyfikującą do odbioru wykonania stanowi: dziennik budowy, stwierdzenie zgodności wykonania z dokumentacją projektową.</w:t>
      </w:r>
    </w:p>
    <w:p w:rsidR="00101A2B" w:rsidRDefault="00101A2B" w:rsidP="00EA4EBD">
      <w:pPr>
        <w:jc w:val="both"/>
      </w:pPr>
      <w:r>
        <w:t>Jeżeli badania dadzą wynik pozytywny, powłoki należy uznać za wykonane prawidłowo.</w:t>
      </w:r>
      <w:r w:rsidR="00EA4EBD">
        <w:t xml:space="preserve"> W </w:t>
      </w:r>
      <w:r>
        <w:t>przypadku, gdy którekolwiek z wymagań nie zostały spełnione, należy uznać, że powłoki nie zostały wykonane prawidłowo. Należy uzgodnić zakres usterek, sposób i termin ich usunięcia.</w:t>
      </w:r>
      <w:r w:rsidR="00EA4EBD">
        <w:t xml:space="preserve"> </w:t>
      </w:r>
      <w:bookmarkStart w:id="1" w:name="_GoBack"/>
      <w:bookmarkEnd w:id="1"/>
      <w:r>
        <w:t>Po usunięciu usterek należy ponownie przeprowadzić kontrolę i odbiór powłok malarskich.</w:t>
      </w:r>
    </w:p>
    <w:p w:rsidR="00101A2B" w:rsidRDefault="00101A2B">
      <w:pPr>
        <w:jc w:val="both"/>
      </w:pPr>
      <w:r>
        <w:t>Protokół odbioru powinien zawierać:</w:t>
      </w:r>
    </w:p>
    <w:p w:rsidR="00101A2B" w:rsidRDefault="00101A2B">
      <w:pPr>
        <w:jc w:val="both"/>
      </w:pPr>
      <w:r>
        <w:t>- ocenę wyników badań,</w:t>
      </w:r>
    </w:p>
    <w:p w:rsidR="00101A2B" w:rsidRDefault="00101A2B">
      <w:pPr>
        <w:jc w:val="both"/>
      </w:pPr>
      <w:r>
        <w:t>- stwierdzenie zgodności wykonania z zamówieniem,</w:t>
      </w:r>
    </w:p>
    <w:p w:rsidR="00101A2B" w:rsidRDefault="00101A2B">
      <w:pPr>
        <w:jc w:val="both"/>
      </w:pPr>
      <w:r>
        <w:t>- wykaz wad i usterek ze wskazaniem sposobu i terminu ich usunięcia.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101A2B" w:rsidRDefault="00101A2B">
      <w:pPr>
        <w:jc w:val="both"/>
      </w:pPr>
    </w:p>
    <w:p w:rsidR="00101A2B" w:rsidRDefault="00101A2B">
      <w:pPr>
        <w:jc w:val="both"/>
      </w:pPr>
      <w:r>
        <w:t>Wymagania ogólne wg ST 00.01</w:t>
      </w:r>
    </w:p>
    <w:p w:rsidR="00101A2B" w:rsidRDefault="00101A2B">
      <w:pPr>
        <w:jc w:val="both"/>
      </w:pPr>
    </w:p>
    <w:p w:rsidR="00101A2B" w:rsidRDefault="00101A2B">
      <w:pPr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101A2B" w:rsidRDefault="00101A2B">
      <w:pPr>
        <w:jc w:val="both"/>
        <w:rPr>
          <w:b/>
          <w:bCs/>
        </w:rPr>
      </w:pP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Wymagania ogólne wg ST 00.01</w:t>
      </w:r>
    </w:p>
    <w:p w:rsidR="00101A2B" w:rsidRPr="002D16E2" w:rsidRDefault="00101A2B">
      <w:pPr>
        <w:jc w:val="both"/>
        <w:rPr>
          <w:color w:val="auto"/>
        </w:rPr>
      </w:pP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PN-EN ISO 4618:2014-11</w:t>
      </w:r>
      <w:r w:rsidRPr="002D16E2">
        <w:rPr>
          <w:color w:val="auto"/>
          <w:shd w:val="clear" w:color="auto" w:fill="FFFFFF"/>
        </w:rPr>
        <w:t xml:space="preserve"> Farby i lakiery -- Terminy i definicje</w:t>
      </w: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PN-C-81914:2002 Farby dyspersyjne stosowane wewnątrz.</w:t>
      </w:r>
    </w:p>
    <w:p w:rsidR="00101A2B" w:rsidRPr="002D16E2" w:rsidRDefault="00101A2B" w:rsidP="002D16E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2D16E2">
        <w:rPr>
          <w:b w:val="0"/>
          <w:bCs w:val="0"/>
          <w:color w:val="auto"/>
          <w:sz w:val="22"/>
          <w:szCs w:val="22"/>
        </w:rPr>
        <w:lastRenderedPageBreak/>
        <w:t>PN-EN ISO 2409:2013-06 Farby i lakiery. Metoda siatki nacięć.</w:t>
      </w: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PN-EN ISO 2808:2008 Farby i lakiery. Oznaczenia grubości powłoki.</w:t>
      </w: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PN-EN ISO 4624:2016-05 Farby i lakiery. Próba odrywania do oceny przyczepności.</w:t>
      </w:r>
    </w:p>
    <w:p w:rsidR="00101A2B" w:rsidRPr="002D16E2" w:rsidRDefault="00101A2B">
      <w:pPr>
        <w:jc w:val="both"/>
        <w:rPr>
          <w:color w:val="auto"/>
        </w:rPr>
      </w:pPr>
      <w:r w:rsidRPr="002D16E2">
        <w:rPr>
          <w:color w:val="auto"/>
        </w:rPr>
        <w:t>Karty techniczne stosowanych materiałów.</w:t>
      </w:r>
    </w:p>
    <w:sectPr w:rsidR="00101A2B" w:rsidRPr="002D16E2" w:rsidSect="00C845A5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5A5"/>
    <w:rsid w:val="000847D3"/>
    <w:rsid w:val="00097C90"/>
    <w:rsid w:val="00101A2B"/>
    <w:rsid w:val="002B2648"/>
    <w:rsid w:val="002D16E2"/>
    <w:rsid w:val="002F5EDF"/>
    <w:rsid w:val="00300593"/>
    <w:rsid w:val="00367143"/>
    <w:rsid w:val="00454FAB"/>
    <w:rsid w:val="004F09C9"/>
    <w:rsid w:val="0061049A"/>
    <w:rsid w:val="007E77EE"/>
    <w:rsid w:val="008E4A39"/>
    <w:rsid w:val="00940DAB"/>
    <w:rsid w:val="00945EE7"/>
    <w:rsid w:val="00990EE3"/>
    <w:rsid w:val="00A14D9E"/>
    <w:rsid w:val="00A77B3E"/>
    <w:rsid w:val="00B466AD"/>
    <w:rsid w:val="00C845A5"/>
    <w:rsid w:val="00D2600C"/>
    <w:rsid w:val="00D45368"/>
    <w:rsid w:val="00DC3A6C"/>
    <w:rsid w:val="00E25843"/>
    <w:rsid w:val="00E97224"/>
    <w:rsid w:val="00EA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472B7"/>
  <w15:docId w15:val="{64D2AA81-3367-44B8-8AAC-8C0A4571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5A5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4F2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4F2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4F2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4F2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4F2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4F2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8754F2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8754F2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72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730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ANKA</cp:lastModifiedBy>
  <cp:revision>16</cp:revision>
  <dcterms:created xsi:type="dcterms:W3CDTF">2012-09-13T09:27:00Z</dcterms:created>
  <dcterms:modified xsi:type="dcterms:W3CDTF">2017-08-17T13:01:00Z</dcterms:modified>
</cp:coreProperties>
</file>