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373B6" w:rsidRDefault="00F401DA">
      <w:pPr>
        <w:contextualSpacing w:val="0"/>
        <w:jc w:val="center"/>
      </w:pPr>
      <w:r>
        <w:rPr>
          <w:b/>
          <w:sz w:val="28"/>
        </w:rPr>
        <w:t>SPECYFIKACJA TECHNICZNA WYKONANIA I ODBIORU ROBÓT</w:t>
      </w:r>
    </w:p>
    <w:p w:rsidR="003373B6" w:rsidRDefault="00F401DA">
      <w:pPr>
        <w:contextualSpacing w:val="0"/>
        <w:jc w:val="center"/>
      </w:pPr>
      <w:r>
        <w:rPr>
          <w:b/>
          <w:sz w:val="28"/>
        </w:rPr>
        <w:t>BUDOWLANYCH</w:t>
      </w:r>
    </w:p>
    <w:p w:rsidR="003373B6" w:rsidRDefault="003373B6">
      <w:pPr>
        <w:contextualSpacing w:val="0"/>
        <w:jc w:val="both"/>
      </w:pPr>
    </w:p>
    <w:p w:rsidR="003373B6" w:rsidRDefault="00F401DA">
      <w:pPr>
        <w:pStyle w:val="Nagwek1"/>
        <w:contextualSpacing w:val="0"/>
        <w:jc w:val="center"/>
      </w:pPr>
      <w:r>
        <w:rPr>
          <w:b w:val="0"/>
          <w:sz w:val="22"/>
          <w:highlight w:val="white"/>
        </w:rPr>
        <w:t>Nazwa zamówienia:</w:t>
      </w:r>
    </w:p>
    <w:p w:rsidR="00C60911" w:rsidRDefault="00C60911" w:rsidP="00C60911">
      <w:pPr>
        <w:jc w:val="center"/>
        <w:rPr>
          <w:b/>
        </w:rPr>
      </w:pPr>
      <w:r>
        <w:rPr>
          <w:b/>
        </w:rPr>
        <w:t xml:space="preserve">Wykonanie dokumentacji projektowej dla zadania pn. </w:t>
      </w:r>
      <w:r>
        <w:rPr>
          <w:b/>
          <w:i/>
        </w:rPr>
        <w:t>Przebudowa, rozbudowa i zmiana sposobu użytkowania budynku magazynowego przy ul. Kościuszki 77 w Toruniu – na budynek o funkcji użyteczności publicznej, stanowiący siedzibę samorządowych instytucji kultury.</w:t>
      </w:r>
    </w:p>
    <w:p w:rsidR="003373B6" w:rsidRDefault="003373B6">
      <w:pPr>
        <w:contextualSpacing w:val="0"/>
        <w:jc w:val="both"/>
      </w:pPr>
    </w:p>
    <w:p w:rsidR="003373B6" w:rsidRDefault="00C35FC4">
      <w:pPr>
        <w:pStyle w:val="Nagwek1"/>
        <w:contextualSpacing w:val="0"/>
        <w:jc w:val="both"/>
      </w:pPr>
      <w:bookmarkStart w:id="0" w:name="h.kfnj7zkdxboy" w:colFirst="0" w:colLast="0"/>
      <w:bookmarkEnd w:id="0"/>
      <w:r>
        <w:t>ST 02.01</w:t>
      </w:r>
      <w:r w:rsidR="00F401DA">
        <w:t xml:space="preserve"> Roboty zbrojarskie</w:t>
      </w:r>
    </w:p>
    <w:p w:rsidR="003373B6" w:rsidRDefault="003373B6">
      <w:pPr>
        <w:contextualSpacing w:val="0"/>
        <w:jc w:val="both"/>
      </w:pPr>
    </w:p>
    <w:tbl>
      <w:tblPr>
        <w:tblStyle w:val="a1"/>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373B6">
        <w:tc>
          <w:tcPr>
            <w:tcW w:w="9360" w:type="dxa"/>
            <w:tcMar>
              <w:top w:w="100" w:type="dxa"/>
              <w:left w:w="100" w:type="dxa"/>
              <w:bottom w:w="100" w:type="dxa"/>
              <w:right w:w="100" w:type="dxa"/>
            </w:tcMar>
          </w:tcPr>
          <w:p w:rsidR="003373B6" w:rsidRDefault="007A5E08">
            <w:pPr>
              <w:spacing w:line="240" w:lineRule="auto"/>
              <w:contextualSpacing w:val="0"/>
              <w:jc w:val="both"/>
            </w:pPr>
            <w:r>
              <w:t>CPV 45262310-7 Zbrojenie</w:t>
            </w:r>
          </w:p>
        </w:tc>
      </w:tr>
    </w:tbl>
    <w:p w:rsidR="003373B6" w:rsidRDefault="003373B6">
      <w:pPr>
        <w:contextualSpacing w:val="0"/>
        <w:jc w:val="both"/>
      </w:pPr>
    </w:p>
    <w:p w:rsidR="003373B6" w:rsidRDefault="003373B6">
      <w:pPr>
        <w:contextualSpacing w:val="0"/>
        <w:jc w:val="both"/>
      </w:pPr>
    </w:p>
    <w:p w:rsidR="003373B6" w:rsidRDefault="00F401DA">
      <w:pPr>
        <w:contextualSpacing w:val="0"/>
        <w:jc w:val="both"/>
      </w:pPr>
      <w:r>
        <w:rPr>
          <w:b/>
        </w:rPr>
        <w:t>1. PRZEDMIOT I ZAKRES ROBÓT</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t xml:space="preserve">Szczegółowa Specyfikacja Techniczna jest stosowana </w:t>
      </w:r>
      <w:r w:rsidR="005E269E">
        <w:t>jako dokument przetargowy i </w:t>
      </w:r>
      <w:r>
        <w:t>kontraktowy przy zlecaniu i realizacji robót wymienionych poniżej.</w:t>
      </w:r>
    </w:p>
    <w:p w:rsidR="003373B6" w:rsidRDefault="00F401DA">
      <w:pPr>
        <w:contextualSpacing w:val="0"/>
        <w:jc w:val="both"/>
      </w:pPr>
      <w:r>
        <w:t>Przedmiotem tej części ST są wymagania dotyczące wykonania i odbioru robót zbrojeniowych. Obejmują następujący zakres:</w:t>
      </w:r>
    </w:p>
    <w:p w:rsidR="003373B6" w:rsidRDefault="003373B6">
      <w:pPr>
        <w:contextualSpacing w:val="0"/>
        <w:jc w:val="both"/>
      </w:pPr>
    </w:p>
    <w:p w:rsidR="003373B6" w:rsidRDefault="00F401DA">
      <w:pPr>
        <w:contextualSpacing w:val="0"/>
        <w:jc w:val="both"/>
      </w:pPr>
      <w:r>
        <w:t>Wykonanie zbrojenia:</w:t>
      </w:r>
    </w:p>
    <w:p w:rsidR="003373B6" w:rsidRDefault="00F401DA">
      <w:pPr>
        <w:contextualSpacing w:val="0"/>
        <w:jc w:val="both"/>
      </w:pPr>
      <w:r>
        <w:t xml:space="preserve">- </w:t>
      </w:r>
      <w:r w:rsidR="00DA0155">
        <w:t xml:space="preserve">płyty </w:t>
      </w:r>
      <w:bookmarkStart w:id="1" w:name="_GoBack"/>
      <w:bookmarkEnd w:id="1"/>
      <w:r>
        <w:t>i stóp fundamentowych</w:t>
      </w:r>
      <w:r w:rsidR="005E269E">
        <w:t>,</w:t>
      </w:r>
    </w:p>
    <w:p w:rsidR="003373B6" w:rsidRDefault="00F401DA">
      <w:pPr>
        <w:contextualSpacing w:val="0"/>
        <w:jc w:val="both"/>
      </w:pPr>
      <w:r>
        <w:t>- słupów żelbetowych</w:t>
      </w:r>
      <w:r w:rsidR="005E269E">
        <w:t>,</w:t>
      </w:r>
    </w:p>
    <w:p w:rsidR="003373B6" w:rsidRDefault="00F401DA">
      <w:pPr>
        <w:contextualSpacing w:val="0"/>
        <w:jc w:val="both"/>
      </w:pPr>
      <w:r>
        <w:t>- ścian żelbetowych</w:t>
      </w:r>
      <w:r w:rsidR="005E269E">
        <w:t>,</w:t>
      </w:r>
    </w:p>
    <w:p w:rsidR="003373B6" w:rsidRDefault="00F401DA">
      <w:pPr>
        <w:contextualSpacing w:val="0"/>
        <w:jc w:val="both"/>
      </w:pPr>
      <w:r>
        <w:t>- trzpieni, wieńc</w:t>
      </w:r>
      <w:r w:rsidR="005E269E">
        <w:t>ów</w:t>
      </w:r>
      <w:r>
        <w:t>, belek żelbetowych</w:t>
      </w:r>
      <w:r w:rsidR="005E269E">
        <w:t>,</w:t>
      </w:r>
    </w:p>
    <w:p w:rsidR="003373B6" w:rsidRDefault="00F401DA">
      <w:pPr>
        <w:contextualSpacing w:val="0"/>
        <w:jc w:val="both"/>
      </w:pPr>
      <w:r>
        <w:t>- schodów żelbetowych</w:t>
      </w:r>
      <w:r w:rsidR="005E269E">
        <w:t>,</w:t>
      </w:r>
    </w:p>
    <w:p w:rsidR="003373B6" w:rsidRDefault="002831C6">
      <w:pPr>
        <w:contextualSpacing w:val="0"/>
        <w:jc w:val="both"/>
      </w:pPr>
      <w:r>
        <w:t>- stropów żelbetowych</w:t>
      </w:r>
      <w:r w:rsidR="005E269E">
        <w:t>,</w:t>
      </w:r>
    </w:p>
    <w:p w:rsidR="003373B6" w:rsidRDefault="00F401DA">
      <w:pPr>
        <w:contextualSpacing w:val="0"/>
        <w:jc w:val="both"/>
      </w:pPr>
      <w:r>
        <w:t>- osadzenie w betonie okuć, kotew, marek, przejść, dylatacji</w:t>
      </w:r>
      <w:r w:rsidR="005E269E">
        <w:t>,</w:t>
      </w:r>
    </w:p>
    <w:p w:rsidR="003373B6" w:rsidRDefault="00F401DA">
      <w:pPr>
        <w:contextualSpacing w:val="0"/>
        <w:jc w:val="both"/>
      </w:pPr>
      <w:r>
        <w:t>- p</w:t>
      </w:r>
      <w:r w:rsidR="002831C6">
        <w:t>odestów</w:t>
      </w:r>
      <w:r w:rsidR="005E269E">
        <w:t>.</w:t>
      </w:r>
    </w:p>
    <w:p w:rsidR="003373B6" w:rsidRDefault="003373B6">
      <w:pPr>
        <w:contextualSpacing w:val="0"/>
        <w:jc w:val="both"/>
      </w:pPr>
    </w:p>
    <w:p w:rsidR="003373B6" w:rsidRDefault="00F401DA">
      <w:pPr>
        <w:contextualSpacing w:val="0"/>
        <w:jc w:val="both"/>
      </w:pPr>
      <w:r>
        <w:rPr>
          <w:b/>
        </w:rPr>
        <w:t>2. MATERIAŁY</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t>- Stal zbrojeniowa główna ze stali A</w:t>
      </w:r>
      <w:r w:rsidR="006770D4">
        <w:t>-</w:t>
      </w:r>
      <w:r>
        <w:t>IIIN lub równoważnej</w:t>
      </w:r>
    </w:p>
    <w:p w:rsidR="003373B6" w:rsidRDefault="00F401DA">
      <w:pPr>
        <w:contextualSpacing w:val="0"/>
        <w:jc w:val="both"/>
      </w:pPr>
      <w:r>
        <w:lastRenderedPageBreak/>
        <w:t>- Strzemiona, pręty pomocnicze i rozdzielcze ze stali A-I</w:t>
      </w:r>
      <w:r w:rsidR="00EF76B8">
        <w:t>IIN</w:t>
      </w:r>
      <w:r>
        <w:t xml:space="preserve"> lub równoważnej</w:t>
      </w:r>
    </w:p>
    <w:p w:rsidR="003373B6" w:rsidRDefault="00F401DA">
      <w:pPr>
        <w:contextualSpacing w:val="0"/>
        <w:jc w:val="both"/>
      </w:pPr>
      <w:r>
        <w:t>- Kotwy wg dokumentacji</w:t>
      </w:r>
    </w:p>
    <w:p w:rsidR="003373B6" w:rsidRDefault="00F401DA">
      <w:pPr>
        <w:contextualSpacing w:val="0"/>
        <w:jc w:val="both"/>
      </w:pPr>
      <w:r>
        <w:t>- Marki wg dokumentacji</w:t>
      </w:r>
    </w:p>
    <w:p w:rsidR="003373B6" w:rsidRDefault="003373B6">
      <w:pPr>
        <w:contextualSpacing w:val="0"/>
        <w:jc w:val="both"/>
      </w:pPr>
    </w:p>
    <w:p w:rsidR="003373B6" w:rsidRDefault="00F401DA">
      <w:pPr>
        <w:contextualSpacing w:val="0"/>
        <w:jc w:val="both"/>
      </w:pPr>
      <w:r>
        <w:rPr>
          <w:b/>
        </w:rPr>
        <w:t>3. SPRZĘT</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rPr>
          <w:b/>
        </w:rPr>
        <w:t>4. TRANSPORT</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rPr>
          <w:b/>
        </w:rPr>
        <w:t>5. WYKONANIE ROBÓT</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t>Stal zbrojeniowa dostarczana na budowę może być w postaci p</w:t>
      </w:r>
      <w:r w:rsidR="005E269E">
        <w:t>refabrykatów zbrojarskich lub w </w:t>
      </w:r>
      <w:r>
        <w:t>postaci prętów, kręgów. Powinna być składowana na budowie na stojakach lub podkładach drewnianych (nie może być złożona bezpośrednio na gruncie).</w:t>
      </w:r>
    </w:p>
    <w:p w:rsidR="003373B6" w:rsidRDefault="00F401DA">
      <w:pPr>
        <w:contextualSpacing w:val="0"/>
        <w:jc w:val="both"/>
      </w:pPr>
      <w:r>
        <w:t>Stoły warsztatowe ustawić pod wiatami z umocowanymi osłonami, stanowiska oddzielić siatką.</w:t>
      </w:r>
    </w:p>
    <w:p w:rsidR="003373B6" w:rsidRDefault="00F401DA">
      <w:pPr>
        <w:contextualSpacing w:val="0"/>
        <w:jc w:val="both"/>
      </w:pPr>
      <w:r>
        <w:t>Pręty zbrojeniowe powinny być proste. Dopuszcza się wykrzywienie pręta nieprzekraczające 0,5mm na długości 1m.</w:t>
      </w:r>
    </w:p>
    <w:p w:rsidR="003373B6" w:rsidRDefault="00F401DA">
      <w:pPr>
        <w:contextualSpacing w:val="0"/>
        <w:jc w:val="both"/>
      </w:pPr>
      <w:r>
        <w:t>Zbrojenie przygotowane wg Dokumentacji Projektowej układa się po odbiorze deskowania. Niedopuszczalne jest wbudowywanie zbrojenia pokrytego łuszczącą się rdzą, zatłuszczonej, zabrudzonej farbami lub innymi środkami chemicznymi, zabłoconej lub oblodzonej. Zbrojenie musi być ułożone na przekładkach dystansowych zapewniających odpowiednie otulenie stali. Zbrojenie musi być trwale usytuowane w deskowaniu w sposób zabezpieczający od uszkodzeń i przemieszczeń podczas betonowania i zagęszczania mieszanki betonowej.</w:t>
      </w:r>
    </w:p>
    <w:p w:rsidR="003373B6" w:rsidRDefault="003373B6">
      <w:pPr>
        <w:contextualSpacing w:val="0"/>
        <w:jc w:val="both"/>
      </w:pPr>
    </w:p>
    <w:p w:rsidR="003373B6" w:rsidRDefault="00F401DA">
      <w:pPr>
        <w:contextualSpacing w:val="0"/>
        <w:jc w:val="both"/>
      </w:pPr>
      <w:r>
        <w:rPr>
          <w:b/>
        </w:rPr>
        <w:t>6. KONTROLA JAKOSCI ROBÓT</w:t>
      </w:r>
    </w:p>
    <w:p w:rsidR="003373B6" w:rsidRDefault="003373B6">
      <w:pPr>
        <w:contextualSpacing w:val="0"/>
        <w:jc w:val="both"/>
      </w:pPr>
    </w:p>
    <w:p w:rsidR="003373B6" w:rsidRDefault="00F401DA">
      <w:pPr>
        <w:contextualSpacing w:val="0"/>
        <w:jc w:val="both"/>
      </w:pPr>
      <w:r>
        <w:t>Wymagania ogólne wg ST 00.01</w:t>
      </w:r>
    </w:p>
    <w:p w:rsidR="003373B6" w:rsidRDefault="00F401DA">
      <w:pPr>
        <w:contextualSpacing w:val="0"/>
        <w:jc w:val="both"/>
      </w:pPr>
      <w:r>
        <w:t>Każda partia zbrojenia musi mieć atest hutniczy (zaświadczenie o jakości).</w:t>
      </w:r>
    </w:p>
    <w:p w:rsidR="003373B6" w:rsidRDefault="00F401DA">
      <w:pPr>
        <w:contextualSpacing w:val="0"/>
        <w:jc w:val="both"/>
      </w:pPr>
      <w:r>
        <w:t>Każdą partię zbrojenia należy poddać kontroli ze względu na zgodność z zamówieniem sprawdzając: cechowanie, wygląd zewnętrzny, wymiar, średnicę prostolinijność.</w:t>
      </w:r>
    </w:p>
    <w:p w:rsidR="003373B6" w:rsidRDefault="00F401DA">
      <w:pPr>
        <w:contextualSpacing w:val="0"/>
        <w:jc w:val="both"/>
      </w:pPr>
      <w:r>
        <w:t>W przypadku braku atestu lub gdy nasuwają się wątpliwości co do właściwości technicznych, gdy stal pęka przy gięciu, przed wbudowaniem należy stal zbadać laboratoryjnie.</w:t>
      </w:r>
    </w:p>
    <w:p w:rsidR="003373B6" w:rsidRDefault="00F401DA">
      <w:pPr>
        <w:contextualSpacing w:val="0"/>
        <w:jc w:val="both"/>
      </w:pPr>
      <w:r>
        <w:t>Kontrola zbrojenia przed zabetonowaniem obejmuje:</w:t>
      </w:r>
    </w:p>
    <w:p w:rsidR="003373B6" w:rsidRDefault="002831C6">
      <w:pPr>
        <w:contextualSpacing w:val="0"/>
        <w:jc w:val="both"/>
      </w:pPr>
      <w:r>
        <w:t>- o</w:t>
      </w:r>
      <w:r w:rsidR="00F401DA">
        <w:t>ględziny</w:t>
      </w:r>
    </w:p>
    <w:p w:rsidR="003373B6" w:rsidRDefault="002831C6">
      <w:pPr>
        <w:contextualSpacing w:val="0"/>
        <w:jc w:val="both"/>
      </w:pPr>
      <w:r>
        <w:t>- s</w:t>
      </w:r>
      <w:r w:rsidR="00F401DA">
        <w:t>prawdzenie zgodności wymiarów zbrojenia z Dokumentacją Projektową</w:t>
      </w:r>
    </w:p>
    <w:p w:rsidR="003373B6" w:rsidRDefault="002831C6">
      <w:pPr>
        <w:contextualSpacing w:val="0"/>
        <w:jc w:val="both"/>
      </w:pPr>
      <w:r>
        <w:t>- s</w:t>
      </w:r>
      <w:r w:rsidR="00F401DA">
        <w:t>prawdzenie zaświadczenia jakości zbrojenia</w:t>
      </w:r>
    </w:p>
    <w:p w:rsidR="003373B6" w:rsidRDefault="002831C6">
      <w:pPr>
        <w:contextualSpacing w:val="0"/>
        <w:jc w:val="both"/>
      </w:pPr>
      <w:r>
        <w:t>- s</w:t>
      </w:r>
      <w:r w:rsidR="00F401DA">
        <w:t>prawdzenie jakości połączeń</w:t>
      </w:r>
    </w:p>
    <w:p w:rsidR="003373B6" w:rsidRDefault="003373B6">
      <w:pPr>
        <w:contextualSpacing w:val="0"/>
        <w:jc w:val="both"/>
      </w:pPr>
    </w:p>
    <w:p w:rsidR="003373B6" w:rsidRDefault="00F401DA">
      <w:pPr>
        <w:contextualSpacing w:val="0"/>
        <w:jc w:val="both"/>
      </w:pPr>
      <w:r>
        <w:rPr>
          <w:b/>
        </w:rPr>
        <w:t>7. OBMIAR ROBÓT</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t>Jednostką obmiaru robót jest zgodnie z przedmiarem T tona</w:t>
      </w:r>
    </w:p>
    <w:p w:rsidR="003373B6" w:rsidRDefault="003373B6">
      <w:pPr>
        <w:contextualSpacing w:val="0"/>
        <w:jc w:val="both"/>
      </w:pPr>
    </w:p>
    <w:p w:rsidR="003373B6" w:rsidRDefault="00F401DA">
      <w:pPr>
        <w:contextualSpacing w:val="0"/>
        <w:jc w:val="both"/>
      </w:pPr>
      <w:r>
        <w:rPr>
          <w:b/>
        </w:rPr>
        <w:t>8. ODBIÓR ROBÓT</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t>Przy odbiorze zbrojenia należy przeprowadzić następujące pomiary:</w:t>
      </w:r>
    </w:p>
    <w:p w:rsidR="003373B6" w:rsidRDefault="00F401DA">
      <w:pPr>
        <w:contextualSpacing w:val="0"/>
        <w:jc w:val="both"/>
      </w:pPr>
      <w:r>
        <w:t>- Grubości otulenia</w:t>
      </w:r>
    </w:p>
    <w:p w:rsidR="003373B6" w:rsidRDefault="00F401DA">
      <w:pPr>
        <w:contextualSpacing w:val="0"/>
        <w:jc w:val="both"/>
      </w:pPr>
      <w:r>
        <w:t>- Odległości w świetle między prętami</w:t>
      </w:r>
    </w:p>
    <w:p w:rsidR="003373B6" w:rsidRDefault="00F401DA">
      <w:pPr>
        <w:contextualSpacing w:val="0"/>
        <w:jc w:val="both"/>
      </w:pPr>
      <w:r>
        <w:t>- Ogólnej długości prętów</w:t>
      </w:r>
    </w:p>
    <w:p w:rsidR="003373B6" w:rsidRDefault="00F401DA">
      <w:pPr>
        <w:contextualSpacing w:val="0"/>
        <w:jc w:val="both"/>
      </w:pPr>
      <w:r>
        <w:t>- Usytuowania prętów</w:t>
      </w:r>
    </w:p>
    <w:p w:rsidR="003373B6" w:rsidRDefault="00F401DA">
      <w:pPr>
        <w:contextualSpacing w:val="0"/>
        <w:jc w:val="both"/>
      </w:pPr>
      <w:r>
        <w:t>- Rozstawu strzemion</w:t>
      </w:r>
    </w:p>
    <w:p w:rsidR="003373B6" w:rsidRDefault="00F401DA">
      <w:pPr>
        <w:contextualSpacing w:val="0"/>
        <w:jc w:val="both"/>
      </w:pPr>
      <w:r>
        <w:t>- Średnicy prętów zbrojeniowych</w:t>
      </w:r>
    </w:p>
    <w:p w:rsidR="003373B6" w:rsidRDefault="00F401DA">
      <w:pPr>
        <w:contextualSpacing w:val="0"/>
        <w:jc w:val="both"/>
      </w:pPr>
      <w:r>
        <w:t>- Grubości, długości i wyglądu połączeń prętów</w:t>
      </w:r>
    </w:p>
    <w:p w:rsidR="003373B6" w:rsidRDefault="003373B6">
      <w:pPr>
        <w:contextualSpacing w:val="0"/>
        <w:jc w:val="both"/>
      </w:pPr>
    </w:p>
    <w:p w:rsidR="003373B6" w:rsidRDefault="00F401DA">
      <w:pPr>
        <w:contextualSpacing w:val="0"/>
        <w:jc w:val="both"/>
      </w:pPr>
      <w:r>
        <w:t>Dopuszczalne odchyłki</w:t>
      </w:r>
    </w:p>
    <w:p w:rsidR="003373B6" w:rsidRDefault="00F401DA">
      <w:pPr>
        <w:contextualSpacing w:val="0"/>
        <w:jc w:val="both"/>
      </w:pPr>
      <w:r>
        <w:t>- otulina zbrojenia w fundamencie - &lt;10mm</w:t>
      </w:r>
    </w:p>
    <w:p w:rsidR="003373B6" w:rsidRDefault="00F401DA">
      <w:pPr>
        <w:contextualSpacing w:val="0"/>
        <w:jc w:val="both"/>
      </w:pPr>
      <w:r>
        <w:t>- długość prętów – ± 10 mm dla prętów o fi ≤ 20mm i ±0,5fi dla prętów &gt;20mm</w:t>
      </w:r>
    </w:p>
    <w:p w:rsidR="003373B6" w:rsidRDefault="00F401DA">
      <w:pPr>
        <w:contextualSpacing w:val="0"/>
        <w:jc w:val="both"/>
      </w:pPr>
      <w:r>
        <w:t>- odległość miedzy p</w:t>
      </w:r>
      <w:r w:rsidR="002831C6">
        <w:t>rętami w świetle - ± 5mm dla prę</w:t>
      </w:r>
      <w:r>
        <w:t>tów o fi ≤ 20mm i ±0,25fi dla prętów &gt;20mm</w:t>
      </w:r>
    </w:p>
    <w:p w:rsidR="003373B6" w:rsidRDefault="00F401DA">
      <w:pPr>
        <w:contextualSpacing w:val="0"/>
        <w:jc w:val="both"/>
      </w:pPr>
      <w:r>
        <w:t>- usytuowanie zbrojenia na długości elementu – ± 12mm dla długości ≤ 1000mm i ±30mm dla długości &gt;1000mm</w:t>
      </w:r>
    </w:p>
    <w:p w:rsidR="003373B6" w:rsidRDefault="00F401DA">
      <w:pPr>
        <w:contextualSpacing w:val="0"/>
        <w:jc w:val="both"/>
      </w:pPr>
      <w:r>
        <w:t>- długość zakładów – &lt;50 mm i &lt;5fi</w:t>
      </w:r>
    </w:p>
    <w:p w:rsidR="003373B6" w:rsidRDefault="00F401DA">
      <w:pPr>
        <w:contextualSpacing w:val="0"/>
        <w:jc w:val="both"/>
      </w:pPr>
      <w:r>
        <w:t>- długość spoiny – &lt;1,0fi</w:t>
      </w:r>
    </w:p>
    <w:p w:rsidR="003373B6" w:rsidRDefault="00F401DA">
      <w:pPr>
        <w:contextualSpacing w:val="0"/>
        <w:jc w:val="both"/>
      </w:pPr>
      <w:r>
        <w:t>- grubość spoiny – 0,1fi</w:t>
      </w:r>
    </w:p>
    <w:p w:rsidR="003373B6" w:rsidRDefault="003373B6">
      <w:pPr>
        <w:contextualSpacing w:val="0"/>
        <w:jc w:val="both"/>
      </w:pPr>
    </w:p>
    <w:p w:rsidR="003373B6" w:rsidRDefault="00F401DA">
      <w:pPr>
        <w:contextualSpacing w:val="0"/>
        <w:jc w:val="both"/>
      </w:pPr>
      <w:r>
        <w:t>Pomiary należy przeprowadzić wg zasad kontroli zwykłej – losowo wybrać element żelbetowy. W przypadku negatywnych wyników liczbę sprawdzanych elementów należy zwiększyć. Wyniki pomiarów należy załączyć do protokołu odbioru.</w:t>
      </w:r>
    </w:p>
    <w:p w:rsidR="003373B6" w:rsidRDefault="00F401DA">
      <w:pPr>
        <w:contextualSpacing w:val="0"/>
        <w:jc w:val="both"/>
      </w:pPr>
      <w:r>
        <w:t>Do odbioru robót przystąpić można po sprawdzeniu kompletności przedłożonej dokumentacji. Niezbędnymi dokumentami przy odbiorze są: dziennik budowy, dokumentacja powykonawcza, stwierdzenie zgodności wykonania z dokumentacją projektową, dokumenty jakości wbudowanych materiałów, protokoły odbiorów.</w:t>
      </w:r>
    </w:p>
    <w:p w:rsidR="003373B6" w:rsidRDefault="00F401DA">
      <w:pPr>
        <w:contextualSpacing w:val="0"/>
        <w:jc w:val="both"/>
      </w:pPr>
      <w:r>
        <w:t>Odbioru dokonać po zakończeniu robót i po stwierdzeniu zgodności wykonanych robót z</w:t>
      </w:r>
    </w:p>
    <w:p w:rsidR="003373B6" w:rsidRDefault="00F401DA">
      <w:pPr>
        <w:contextualSpacing w:val="0"/>
        <w:jc w:val="both"/>
      </w:pPr>
      <w:r>
        <w:t>zamówieniem.</w:t>
      </w:r>
    </w:p>
    <w:p w:rsidR="003373B6" w:rsidRDefault="00F401DA">
      <w:pPr>
        <w:contextualSpacing w:val="0"/>
        <w:jc w:val="both"/>
      </w:pPr>
      <w:r>
        <w:t>Odbiór robót stwierdza się po badaniach kontrolnych i porównaniu wyników z dopuszczalnymi tolerancjami.</w:t>
      </w:r>
    </w:p>
    <w:p w:rsidR="003373B6" w:rsidRDefault="003373B6">
      <w:pPr>
        <w:contextualSpacing w:val="0"/>
        <w:jc w:val="both"/>
      </w:pPr>
    </w:p>
    <w:p w:rsidR="003373B6" w:rsidRDefault="00F401DA">
      <w:pPr>
        <w:contextualSpacing w:val="0"/>
        <w:jc w:val="both"/>
      </w:pPr>
      <w:r>
        <w:t>Protokół odbioru zawiera</w:t>
      </w:r>
    </w:p>
    <w:p w:rsidR="003373B6" w:rsidRDefault="00F401DA">
      <w:pPr>
        <w:contextualSpacing w:val="0"/>
        <w:jc w:val="both"/>
      </w:pPr>
      <w:r>
        <w:t>- ocenę wyników,</w:t>
      </w:r>
    </w:p>
    <w:p w:rsidR="003373B6" w:rsidRDefault="00F401DA">
      <w:pPr>
        <w:contextualSpacing w:val="0"/>
        <w:jc w:val="both"/>
      </w:pPr>
      <w:r>
        <w:t>- wykaz wad i usterek oraz sposób i termin ich usunięcia,</w:t>
      </w:r>
    </w:p>
    <w:p w:rsidR="003373B6" w:rsidRDefault="00F401DA">
      <w:pPr>
        <w:contextualSpacing w:val="0"/>
        <w:jc w:val="both"/>
      </w:pPr>
      <w:r>
        <w:lastRenderedPageBreak/>
        <w:t>- stwierdzenie zgodności lub niezgodności wykonania robót z zamówieniem.</w:t>
      </w:r>
    </w:p>
    <w:p w:rsidR="003373B6" w:rsidRDefault="003373B6">
      <w:pPr>
        <w:contextualSpacing w:val="0"/>
        <w:jc w:val="both"/>
      </w:pPr>
    </w:p>
    <w:p w:rsidR="003373B6" w:rsidRDefault="00F401DA">
      <w:pPr>
        <w:contextualSpacing w:val="0"/>
        <w:jc w:val="both"/>
      </w:pPr>
      <w:r>
        <w:rPr>
          <w:b/>
        </w:rPr>
        <w:t>9. PODSTAWA PŁATNOŚCI</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rPr>
          <w:b/>
        </w:rPr>
        <w:t>10. DOKUMENTY ODNIESIENIA</w:t>
      </w:r>
    </w:p>
    <w:p w:rsidR="003373B6" w:rsidRDefault="003373B6">
      <w:pPr>
        <w:contextualSpacing w:val="0"/>
        <w:jc w:val="both"/>
      </w:pPr>
    </w:p>
    <w:p w:rsidR="003373B6" w:rsidRDefault="00F401DA">
      <w:pPr>
        <w:contextualSpacing w:val="0"/>
        <w:jc w:val="both"/>
      </w:pPr>
      <w:r>
        <w:t>Wymagania ogólne wg ST 00.01</w:t>
      </w:r>
    </w:p>
    <w:p w:rsidR="003373B6" w:rsidRDefault="003373B6">
      <w:pPr>
        <w:contextualSpacing w:val="0"/>
        <w:jc w:val="both"/>
      </w:pPr>
    </w:p>
    <w:p w:rsidR="003373B6" w:rsidRDefault="00F401DA">
      <w:pPr>
        <w:contextualSpacing w:val="0"/>
        <w:jc w:val="both"/>
      </w:pPr>
      <w:r>
        <w:t>PN-ISO 6935-1:1998 Stal do zbrojenia betonu. Pręty gładkie</w:t>
      </w:r>
    </w:p>
    <w:p w:rsidR="003373B6" w:rsidRDefault="00F401DA">
      <w:pPr>
        <w:contextualSpacing w:val="0"/>
        <w:jc w:val="both"/>
      </w:pPr>
      <w:r>
        <w:t>PN-ISO 6935-1/Ak:1998 Stal do zbrojenia betonu. Pręty gładkie. Dodatkowe wymagania</w:t>
      </w:r>
    </w:p>
    <w:p w:rsidR="003373B6" w:rsidRDefault="00F401DA">
      <w:pPr>
        <w:contextualSpacing w:val="0"/>
        <w:jc w:val="both"/>
      </w:pPr>
      <w:r>
        <w:t>stosowane w kraju</w:t>
      </w:r>
    </w:p>
    <w:p w:rsidR="003373B6" w:rsidRDefault="00F401DA">
      <w:pPr>
        <w:contextualSpacing w:val="0"/>
        <w:jc w:val="both"/>
      </w:pPr>
      <w:r>
        <w:t>PN-ISO 6935-2:1998 Stal do zbrojenia betonu. Pręty żebrowane</w:t>
      </w:r>
    </w:p>
    <w:p w:rsidR="003373B6" w:rsidRDefault="00F401DA">
      <w:pPr>
        <w:contextualSpacing w:val="0"/>
        <w:jc w:val="both"/>
      </w:pPr>
      <w:r>
        <w:t>PN-ISO 6935-2/Ak:1998 Stal do zbrojenia betonu. Pręty żebrowane. Dodatkowe</w:t>
      </w:r>
    </w:p>
    <w:p w:rsidR="003373B6" w:rsidRDefault="00F401DA">
      <w:pPr>
        <w:contextualSpacing w:val="0"/>
        <w:jc w:val="both"/>
      </w:pPr>
      <w:r>
        <w:t>wymagania stosowane w kraju</w:t>
      </w:r>
    </w:p>
    <w:p w:rsidR="003373B6" w:rsidRDefault="00F401DA">
      <w:pPr>
        <w:contextualSpacing w:val="0"/>
        <w:jc w:val="both"/>
      </w:pPr>
      <w:r>
        <w:t>PN-89/H-84023.06 Stal określonego zastosowania. Stal do zbrojenia betonu. Gatunki</w:t>
      </w:r>
    </w:p>
    <w:p w:rsidR="003373B6" w:rsidRDefault="00F401DA">
      <w:pPr>
        <w:contextualSpacing w:val="0"/>
        <w:jc w:val="both"/>
      </w:pPr>
      <w:r>
        <w:t>(poprawki: PN-ISO-6935-2/AK:1998/Apl:1999)</w:t>
      </w:r>
    </w:p>
    <w:p w:rsidR="003373B6" w:rsidRDefault="00F401DA">
      <w:pPr>
        <w:contextualSpacing w:val="0"/>
        <w:jc w:val="both"/>
      </w:pPr>
      <w:r>
        <w:t>PN ISO 3443: 1994 Tolerancje w budownictwie.</w:t>
      </w:r>
    </w:p>
    <w:p w:rsidR="003373B6" w:rsidRDefault="00F401DA">
      <w:pPr>
        <w:contextualSpacing w:val="0"/>
        <w:jc w:val="both"/>
      </w:pPr>
      <w:r>
        <w:t>PN ISO 7737: 1994 Tolerancje w budownictwie. Metody pomiarów budynków i</w:t>
      </w:r>
    </w:p>
    <w:p w:rsidR="003373B6" w:rsidRDefault="00F401DA">
      <w:pPr>
        <w:contextualSpacing w:val="0"/>
        <w:jc w:val="both"/>
      </w:pPr>
      <w:r>
        <w:t>elementów budowlanych.</w:t>
      </w:r>
    </w:p>
    <w:p w:rsidR="003373B6" w:rsidRDefault="003373B6">
      <w:pPr>
        <w:contextualSpacing w:val="0"/>
        <w:jc w:val="both"/>
      </w:pPr>
    </w:p>
    <w:sectPr w:rsidR="003373B6">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defaultTabStop w:val="720"/>
  <w:hyphenationZone w:val="425"/>
  <w:characterSpacingControl w:val="doNotCompress"/>
  <w:compat>
    <w:compatSetting w:name="compatibilityMode" w:uri="http://schemas.microsoft.com/office/word" w:val="14"/>
  </w:compat>
  <w:rsids>
    <w:rsidRoot w:val="003373B6"/>
    <w:rsid w:val="001C0FE1"/>
    <w:rsid w:val="002831C6"/>
    <w:rsid w:val="003373B6"/>
    <w:rsid w:val="005C47CA"/>
    <w:rsid w:val="005E269E"/>
    <w:rsid w:val="006770D4"/>
    <w:rsid w:val="007A5E08"/>
    <w:rsid w:val="00C35FC4"/>
    <w:rsid w:val="00C60911"/>
    <w:rsid w:val="00DA0155"/>
    <w:rsid w:val="00EF76B8"/>
    <w:rsid w:val="00F401DA"/>
    <w:rsid w:val="00FE79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3A81F"/>
  <w15:docId w15:val="{B42CCFD7-7D1E-41D8-A54D-CA58779E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pl-PL" w:eastAsia="pl-PL" w:bidi="ar-SA"/>
      </w:rPr>
    </w:rPrDefault>
    <w:pPrDefault>
      <w:pPr>
        <w:widowControl w:val="0"/>
        <w:spacing w:line="276" w:lineRule="auto"/>
        <w:contextualSpacing/>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style>
  <w:style w:type="paragraph" w:styleId="Nagwek1">
    <w:name w:val="heading 1"/>
    <w:basedOn w:val="Normalny"/>
    <w:next w:val="Normalny"/>
    <w:pPr>
      <w:spacing w:before="480" w:after="120"/>
      <w:outlineLvl w:val="0"/>
    </w:pPr>
    <w:rPr>
      <w:b/>
      <w:sz w:val="36"/>
    </w:rPr>
  </w:style>
  <w:style w:type="paragraph" w:styleId="Nagwek2">
    <w:name w:val="heading 2"/>
    <w:basedOn w:val="Normalny"/>
    <w:next w:val="Normalny"/>
    <w:pPr>
      <w:spacing w:before="360" w:after="80"/>
      <w:outlineLvl w:val="1"/>
    </w:pPr>
    <w:rPr>
      <w:b/>
      <w:sz w:val="28"/>
    </w:rPr>
  </w:style>
  <w:style w:type="paragraph" w:styleId="Nagwek3">
    <w:name w:val="heading 3"/>
    <w:basedOn w:val="Normalny"/>
    <w:next w:val="Normalny"/>
    <w:pPr>
      <w:spacing w:before="280" w:after="80"/>
      <w:outlineLvl w:val="2"/>
    </w:pPr>
    <w:rPr>
      <w:b/>
      <w:color w:val="666666"/>
      <w:sz w:val="24"/>
    </w:rPr>
  </w:style>
  <w:style w:type="paragraph" w:styleId="Nagwek4">
    <w:name w:val="heading 4"/>
    <w:basedOn w:val="Normalny"/>
    <w:next w:val="Normalny"/>
    <w:pPr>
      <w:spacing w:before="240" w:after="40"/>
      <w:outlineLvl w:val="3"/>
    </w:pPr>
    <w:rPr>
      <w:i/>
      <w:color w:val="666666"/>
    </w:rPr>
  </w:style>
  <w:style w:type="paragraph" w:styleId="Nagwek5">
    <w:name w:val="heading 5"/>
    <w:basedOn w:val="Normalny"/>
    <w:next w:val="Normalny"/>
    <w:pPr>
      <w:spacing w:before="220" w:after="40"/>
      <w:outlineLvl w:val="4"/>
    </w:pPr>
    <w:rPr>
      <w:b/>
      <w:color w:val="666666"/>
      <w:sz w:val="20"/>
    </w:rPr>
  </w:style>
  <w:style w:type="paragraph" w:styleId="Nagwek6">
    <w:name w:val="heading 6"/>
    <w:basedOn w:val="Normalny"/>
    <w:next w:val="Normalny"/>
    <w:pPr>
      <w:spacing w:before="200" w:after="40"/>
      <w:outlineLvl w:val="5"/>
    </w:pPr>
    <w:rPr>
      <w:i/>
      <w:color w:val="666666"/>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spacing w:before="480" w:after="120"/>
    </w:pPr>
    <w:rPr>
      <w:b/>
      <w:sz w:val="72"/>
    </w:rPr>
  </w:style>
  <w:style w:type="paragraph" w:styleId="Podtytu">
    <w:name w:val="Subtitle"/>
    <w:basedOn w:val="Normalny"/>
    <w:next w:val="Normalny"/>
    <w:pPr>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773</Words>
  <Characters>4642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ST 02.01 Roboty zbrojarskie.docx</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02.01 Roboty zbrojarskie.docx</dc:title>
  <cp:lastModifiedBy>user</cp:lastModifiedBy>
  <cp:revision>10</cp:revision>
  <dcterms:created xsi:type="dcterms:W3CDTF">2017-03-30T13:57:00Z</dcterms:created>
  <dcterms:modified xsi:type="dcterms:W3CDTF">2017-09-04T07:12:00Z</dcterms:modified>
</cp:coreProperties>
</file>