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78" w:rsidRDefault="00177C78" w:rsidP="00AD74EE">
      <w:pPr>
        <w:spacing w:line="240" w:lineRule="auto"/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177C78" w:rsidRDefault="00177C78" w:rsidP="00AD74EE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177C78" w:rsidRDefault="00177C78" w:rsidP="00AD74EE">
      <w:pPr>
        <w:pStyle w:val="Nagwek1"/>
        <w:spacing w:line="240" w:lineRule="auto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B449E7" w:rsidRDefault="00B449E7" w:rsidP="00B449E7">
      <w:pPr>
        <w:jc w:val="center"/>
        <w:rPr>
          <w:b/>
        </w:rPr>
      </w:pPr>
      <w:bookmarkStart w:id="0" w:name="h_up8atkaaflr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177C78" w:rsidRDefault="00177C78" w:rsidP="00AD74EE">
      <w:pPr>
        <w:pStyle w:val="Nagwek1"/>
        <w:spacing w:line="240" w:lineRule="auto"/>
      </w:pPr>
      <w:r>
        <w:t>ST 0</w:t>
      </w:r>
      <w:r w:rsidR="0058064C">
        <w:t>4</w:t>
      </w:r>
      <w:r>
        <w:t>.03 Elewacja</w:t>
      </w:r>
    </w:p>
    <w:p w:rsidR="00177C78" w:rsidRDefault="00177C78" w:rsidP="00AD74EE">
      <w:pPr>
        <w:spacing w:line="240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177C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C78" w:rsidRDefault="00177C78" w:rsidP="00AD74EE">
            <w:pPr>
              <w:spacing w:line="240" w:lineRule="auto"/>
            </w:pPr>
            <w:r>
              <w:t>+45450000-6 Roboty budowlane wykończeniowe, pozostałe</w:t>
            </w:r>
          </w:p>
        </w:tc>
      </w:tr>
    </w:tbl>
    <w:p w:rsidR="00177C78" w:rsidRDefault="00177C78" w:rsidP="00AD74EE">
      <w:pPr>
        <w:spacing w:line="240" w:lineRule="auto"/>
      </w:pPr>
    </w:p>
    <w:p w:rsidR="00177C78" w:rsidRDefault="00177C78" w:rsidP="00AD74EE">
      <w:pPr>
        <w:spacing w:line="240" w:lineRule="auto"/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Szczegółowa Specyfikacja Techniczna jest stosowana jako dokument przetargowy i kontraktowy przy zlecaniu i realizacji robót wymienionych poniżej.</w:t>
      </w:r>
    </w:p>
    <w:p w:rsidR="00177C78" w:rsidRDefault="00177C78" w:rsidP="00AD74EE">
      <w:pPr>
        <w:spacing w:line="240" w:lineRule="auto"/>
        <w:jc w:val="both"/>
      </w:pPr>
      <w:r>
        <w:t xml:space="preserve">Przedmiotem tej części ST są wymagania dotyczące wykonania i odbioru robót wykończeniowych dotyczących elewacji. 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947101">
      <w:pPr>
        <w:spacing w:line="240" w:lineRule="auto"/>
        <w:jc w:val="both"/>
      </w:pPr>
      <w:r>
        <w:t>Zakres dla projektu:</w:t>
      </w:r>
    </w:p>
    <w:p w:rsidR="00177C78" w:rsidRDefault="00177C78" w:rsidP="00AD74EE">
      <w:pPr>
        <w:spacing w:line="240" w:lineRule="auto"/>
        <w:jc w:val="both"/>
      </w:pPr>
      <w:r>
        <w:t xml:space="preserve">- </w:t>
      </w:r>
      <w:r w:rsidR="006C7FDB">
        <w:t>dostawa i montaż elewacyjnych płyt betonowych</w:t>
      </w:r>
    </w:p>
    <w:p w:rsidR="006C7FDB" w:rsidRDefault="006C7FDB" w:rsidP="00AD74EE">
      <w:pPr>
        <w:spacing w:line="240" w:lineRule="auto"/>
        <w:jc w:val="both"/>
      </w:pPr>
      <w:r>
        <w:t>- dostawa i montaż cegły elewacyjnej</w:t>
      </w:r>
    </w:p>
    <w:p w:rsidR="00177C78" w:rsidRDefault="00177C78" w:rsidP="00AD74EE">
      <w:pPr>
        <w:spacing w:line="240" w:lineRule="auto"/>
        <w:jc w:val="both"/>
      </w:pPr>
      <w:r>
        <w:t xml:space="preserve">- dostawa i montaż systemu okładzin z blachy </w:t>
      </w:r>
      <w:r w:rsidR="006C7FDB">
        <w:t>płaskiej</w:t>
      </w:r>
    </w:p>
    <w:p w:rsidR="006C7FDB" w:rsidRPr="00F94BC4" w:rsidRDefault="006C7FDB" w:rsidP="00AD74EE">
      <w:pPr>
        <w:spacing w:line="240" w:lineRule="auto"/>
        <w:jc w:val="both"/>
        <w:rPr>
          <w:color w:val="auto"/>
        </w:rPr>
      </w:pPr>
      <w:r w:rsidRPr="00F94BC4">
        <w:rPr>
          <w:color w:val="auto"/>
        </w:rPr>
        <w:t>- dostawa i montaż paneli z blachy pe</w:t>
      </w:r>
      <w:r w:rsidR="00211D5D" w:rsidRPr="00F94BC4">
        <w:rPr>
          <w:color w:val="auto"/>
        </w:rPr>
        <w:t>r</w:t>
      </w:r>
      <w:r w:rsidRPr="00F94BC4">
        <w:rPr>
          <w:color w:val="auto"/>
        </w:rPr>
        <w:t>forowanej</w:t>
      </w:r>
    </w:p>
    <w:p w:rsidR="00341039" w:rsidRPr="00F94BC4" w:rsidRDefault="00341039" w:rsidP="00AD74EE">
      <w:pPr>
        <w:spacing w:line="240" w:lineRule="auto"/>
        <w:jc w:val="both"/>
        <w:rPr>
          <w:color w:val="auto"/>
        </w:rPr>
      </w:pPr>
      <w:r w:rsidRPr="00F94BC4">
        <w:rPr>
          <w:color w:val="auto"/>
        </w:rPr>
        <w:t>- dostawa i montaż paneli z blachy cięto-ciągnionej</w:t>
      </w:r>
    </w:p>
    <w:p w:rsidR="006C7FDB" w:rsidRDefault="006C7FDB" w:rsidP="006C7FDB">
      <w:pPr>
        <w:spacing w:line="240" w:lineRule="auto"/>
        <w:jc w:val="both"/>
        <w:rPr>
          <w:color w:val="auto"/>
        </w:rPr>
      </w:pPr>
      <w:r w:rsidRPr="005E050D">
        <w:rPr>
          <w:color w:val="auto"/>
        </w:rPr>
        <w:t xml:space="preserve">- </w:t>
      </w:r>
      <w:bookmarkStart w:id="1" w:name="OLE_LINK27"/>
      <w:bookmarkStart w:id="2" w:name="OLE_LINK28"/>
      <w:bookmarkStart w:id="3" w:name="OLE_LINK29"/>
      <w:r w:rsidRPr="005E050D">
        <w:rPr>
          <w:color w:val="auto"/>
        </w:rPr>
        <w:t xml:space="preserve">dostawa i montaż systemu </w:t>
      </w:r>
      <w:bookmarkEnd w:id="1"/>
      <w:bookmarkEnd w:id="2"/>
      <w:bookmarkEnd w:id="3"/>
      <w:r w:rsidRPr="005E050D">
        <w:rPr>
          <w:color w:val="auto"/>
        </w:rPr>
        <w:t>zewnętrznych fasad aluminiowych</w:t>
      </w:r>
      <w:r w:rsidR="005E050D">
        <w:rPr>
          <w:color w:val="auto"/>
        </w:rPr>
        <w:t xml:space="preserve"> o konstrukcji słupowo-ryglowej</w:t>
      </w:r>
    </w:p>
    <w:p w:rsidR="00F113C8" w:rsidRPr="005E050D" w:rsidRDefault="00F113C8" w:rsidP="006C7FDB">
      <w:pPr>
        <w:spacing w:line="240" w:lineRule="auto"/>
        <w:jc w:val="both"/>
        <w:rPr>
          <w:color w:val="auto"/>
        </w:rPr>
      </w:pPr>
      <w:r>
        <w:rPr>
          <w:color w:val="auto"/>
        </w:rPr>
        <w:t xml:space="preserve">- </w:t>
      </w:r>
      <w:r w:rsidRPr="005E050D">
        <w:rPr>
          <w:color w:val="auto"/>
        </w:rPr>
        <w:t xml:space="preserve">dostawa i montaż </w:t>
      </w:r>
      <w:r w:rsidR="0011096E">
        <w:rPr>
          <w:color w:val="auto"/>
        </w:rPr>
        <w:t>fasady wykonanej ze szkła profilowanego</w:t>
      </w:r>
    </w:p>
    <w:p w:rsidR="006C7FDB" w:rsidRDefault="006C7FDB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2. MATERIAŁY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26619" w:rsidRPr="00E51433" w:rsidRDefault="00126619" w:rsidP="00126619">
      <w:pPr>
        <w:spacing w:line="240" w:lineRule="auto"/>
        <w:jc w:val="both"/>
        <w:rPr>
          <w:color w:val="auto"/>
          <w:u w:val="single"/>
        </w:rPr>
      </w:pPr>
      <w:r w:rsidRPr="00E51433">
        <w:rPr>
          <w:color w:val="auto"/>
          <w:u w:val="single"/>
        </w:rPr>
        <w:t>Okładzina betonowa</w:t>
      </w:r>
    </w:p>
    <w:p w:rsidR="00126619" w:rsidRDefault="00126619" w:rsidP="00126619">
      <w:pPr>
        <w:spacing w:line="240" w:lineRule="auto"/>
        <w:jc w:val="both"/>
        <w:rPr>
          <w:color w:val="auto"/>
        </w:rPr>
      </w:pPr>
      <w:r w:rsidRPr="00E51433">
        <w:rPr>
          <w:color w:val="auto"/>
        </w:rPr>
        <w:t>Okładzina z płyt z betonu architektonicznego na podkonstrukcji</w:t>
      </w:r>
      <w:r w:rsidR="00E51433" w:rsidRPr="00E51433">
        <w:rPr>
          <w:color w:val="auto"/>
        </w:rPr>
        <w:t>. Wymiary płyt zgodnie z </w:t>
      </w:r>
      <w:r w:rsidRPr="00E51433">
        <w:rPr>
          <w:color w:val="auto"/>
        </w:rPr>
        <w:t>dokumentacją projektową</w:t>
      </w:r>
      <w:r w:rsidR="00E51433" w:rsidRPr="00E51433">
        <w:rPr>
          <w:color w:val="auto"/>
        </w:rPr>
        <w:t xml:space="preserve"> (rysunki elewacji)</w:t>
      </w:r>
      <w:r w:rsidRPr="00E51433">
        <w:rPr>
          <w:color w:val="auto"/>
        </w:rPr>
        <w:t xml:space="preserve">, gr. </w:t>
      </w:r>
      <w:r w:rsidR="007369A2" w:rsidRPr="00E51433">
        <w:rPr>
          <w:color w:val="auto"/>
        </w:rPr>
        <w:t>3</w:t>
      </w:r>
      <w:r w:rsidRPr="00E51433">
        <w:rPr>
          <w:color w:val="auto"/>
        </w:rPr>
        <w:t xml:space="preserve">0mm. Odległość pomiędzy płytami: 5mm, pustka powietrzna pomiędzy izolacją termiczną a płytami: </w:t>
      </w:r>
      <w:r w:rsidR="00E51433" w:rsidRPr="00E51433">
        <w:rPr>
          <w:color w:val="auto"/>
        </w:rPr>
        <w:t>jest różna, zależy od lokalizacji płyty. Wykonanie zgodnie z rzutami</w:t>
      </w:r>
      <w:r w:rsidR="00211D5D">
        <w:rPr>
          <w:color w:val="auto"/>
        </w:rPr>
        <w:t>, elewacjami</w:t>
      </w:r>
      <w:r w:rsidR="00E51433" w:rsidRPr="00E51433">
        <w:rPr>
          <w:color w:val="auto"/>
        </w:rPr>
        <w:t xml:space="preserve"> i przekrojami.</w:t>
      </w:r>
      <w:r w:rsidRPr="00E51433">
        <w:rPr>
          <w:color w:val="auto"/>
        </w:rPr>
        <w:t xml:space="preserve"> Typ montażu – niewidoczny od strony zewnętrznej na kołkach rozporowych i profilach ze stali nierdzewnej, płyty klejone do konsoli nośnych.</w:t>
      </w:r>
    </w:p>
    <w:p w:rsidR="00E51433" w:rsidRPr="00E51433" w:rsidRDefault="00E51433" w:rsidP="00126619">
      <w:pPr>
        <w:spacing w:line="240" w:lineRule="auto"/>
        <w:jc w:val="both"/>
        <w:rPr>
          <w:color w:val="auto"/>
        </w:rPr>
      </w:pPr>
    </w:p>
    <w:p w:rsidR="00126619" w:rsidRPr="00E51433" w:rsidRDefault="00E51433" w:rsidP="00E51433">
      <w:pPr>
        <w:pStyle w:val="punktory"/>
        <w:numPr>
          <w:ilvl w:val="0"/>
          <w:numId w:val="0"/>
        </w:numPr>
        <w:tabs>
          <w:tab w:val="clear" w:pos="709"/>
          <w:tab w:val="left" w:pos="284"/>
        </w:tabs>
        <w:rPr>
          <w:rFonts w:ascii="Arial" w:hAnsi="Arial" w:cs="Arial"/>
          <w:color w:val="auto"/>
          <w:lang w:eastAsia="pl-PL"/>
        </w:rPr>
      </w:pPr>
      <w:r w:rsidRPr="00E51433">
        <w:rPr>
          <w:rFonts w:ascii="Arial" w:hAnsi="Arial" w:cs="Arial"/>
          <w:color w:val="auto"/>
          <w:lang w:eastAsia="pl-PL"/>
        </w:rPr>
        <w:lastRenderedPageBreak/>
        <w:t>Elementy wybierać korzystając z kompletnego systemu podkonstrukcji do płyt betonowych, umożliwiającego wykonanie pożądanych układów i odległości od ściany zewnętrznej.</w:t>
      </w:r>
    </w:p>
    <w:p w:rsidR="00126619" w:rsidRPr="00126619" w:rsidRDefault="00126619" w:rsidP="00126619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  <w:r w:rsidRPr="00E51433">
        <w:rPr>
          <w:color w:val="auto"/>
        </w:rPr>
        <w:t xml:space="preserve">Płyty należy przechowywać w suchych i zadaszonych pomieszczeniach, w temperaturach </w:t>
      </w:r>
      <w:r w:rsidR="00E51433" w:rsidRPr="00E51433">
        <w:rPr>
          <w:color w:val="auto"/>
        </w:rPr>
        <w:t xml:space="preserve">i wilgotności zgodnie z wytycznymi producenta, </w:t>
      </w:r>
      <w:r w:rsidRPr="00E51433">
        <w:rPr>
          <w:color w:val="auto"/>
        </w:rPr>
        <w:t>unikając bezpośredniej ekspozycji na promieniowanie</w:t>
      </w:r>
      <w:r w:rsidR="00E51433">
        <w:rPr>
          <w:color w:val="auto"/>
        </w:rPr>
        <w:t xml:space="preserve"> </w:t>
      </w:r>
      <w:r w:rsidRPr="00E51433">
        <w:rPr>
          <w:color w:val="auto"/>
        </w:rPr>
        <w:t>U</w:t>
      </w:r>
      <w:r w:rsidR="00E51433">
        <w:rPr>
          <w:color w:val="auto"/>
        </w:rPr>
        <w:t>V</w:t>
      </w:r>
      <w:r w:rsidRPr="00E51433">
        <w:rPr>
          <w:color w:val="auto"/>
        </w:rPr>
        <w:t>.</w:t>
      </w:r>
      <w:r w:rsidRPr="00126619">
        <w:rPr>
          <w:color w:val="FF0000"/>
        </w:rPr>
        <w:t xml:space="preserve"> </w:t>
      </w:r>
      <w:r w:rsidR="00E51433">
        <w:rPr>
          <w:color w:val="auto"/>
        </w:rPr>
        <w:t>Płyty składować w </w:t>
      </w:r>
      <w:r w:rsidRPr="00E51433">
        <w:rPr>
          <w:color w:val="auto"/>
        </w:rPr>
        <w:t xml:space="preserve">oryginalnym opakowaniu producenta, na paletach. </w:t>
      </w:r>
    </w:p>
    <w:p w:rsidR="00126619" w:rsidRDefault="00126619" w:rsidP="00AD74EE">
      <w:pPr>
        <w:spacing w:line="240" w:lineRule="auto"/>
        <w:jc w:val="both"/>
      </w:pPr>
    </w:p>
    <w:p w:rsidR="00126619" w:rsidRPr="00C8265B" w:rsidRDefault="00126619" w:rsidP="00AD74EE">
      <w:pPr>
        <w:spacing w:line="240" w:lineRule="auto"/>
        <w:jc w:val="both"/>
        <w:rPr>
          <w:color w:val="auto"/>
        </w:rPr>
      </w:pPr>
      <w:r w:rsidRPr="00C8265B">
        <w:rPr>
          <w:color w:val="auto"/>
          <w:u w:val="single"/>
        </w:rPr>
        <w:t>Cegła elewacyjna</w:t>
      </w:r>
      <w:r w:rsidRPr="00C8265B">
        <w:rPr>
          <w:color w:val="auto"/>
        </w:rPr>
        <w:t xml:space="preserve">: </w:t>
      </w:r>
      <w:r w:rsidR="00C8265B" w:rsidRPr="00C8265B">
        <w:rPr>
          <w:color w:val="auto"/>
        </w:rPr>
        <w:t>cegła klinkierowa w typowym wymiarze, układ zgodny z rysunkami elewacji.</w:t>
      </w:r>
      <w:r w:rsidR="00C8265B">
        <w:rPr>
          <w:color w:val="auto"/>
        </w:rPr>
        <w:t xml:space="preserve"> System podkonstrukcji umożliwiający </w:t>
      </w:r>
      <w:r w:rsidR="00F236A5">
        <w:rPr>
          <w:color w:val="auto"/>
        </w:rPr>
        <w:t>montaż w odpowiednich odległościach.</w:t>
      </w:r>
      <w:r w:rsidR="000402C9">
        <w:rPr>
          <w:color w:val="auto"/>
        </w:rPr>
        <w:t xml:space="preserve"> Należy skorzystać z systemu konsolowego, składającego się z kątownika osadzonego na wieszakach kotwionych chemicznie do ściany nośnej. Kształt konsoli dostosować indywidualnie, stosować konsole ze stali nierdzewnej.</w:t>
      </w:r>
      <w:r w:rsidR="001B6B9F">
        <w:rPr>
          <w:color w:val="auto"/>
        </w:rPr>
        <w:t xml:space="preserve"> </w:t>
      </w:r>
    </w:p>
    <w:p w:rsidR="00126619" w:rsidRDefault="00126619" w:rsidP="00AD74EE">
      <w:pPr>
        <w:spacing w:line="240" w:lineRule="auto"/>
        <w:jc w:val="both"/>
      </w:pPr>
    </w:p>
    <w:p w:rsidR="00341039" w:rsidRDefault="002F5A99" w:rsidP="00341039">
      <w:pPr>
        <w:spacing w:line="240" w:lineRule="auto"/>
        <w:jc w:val="both"/>
        <w:rPr>
          <w:color w:val="auto"/>
        </w:rPr>
      </w:pPr>
      <w:r>
        <w:rPr>
          <w:color w:val="auto"/>
          <w:u w:val="single"/>
        </w:rPr>
        <w:t xml:space="preserve">Blacha płaska: </w:t>
      </w:r>
      <w:r>
        <w:rPr>
          <w:color w:val="auto"/>
        </w:rPr>
        <w:t xml:space="preserve">blacha aluminiowa łączona na rąbek stojący </w:t>
      </w:r>
      <w:r w:rsidRPr="00D54132">
        <w:rPr>
          <w:color w:val="auto"/>
        </w:rPr>
        <w:t>w kolorze zbliżonym do RAL 7021</w:t>
      </w:r>
      <w:r>
        <w:rPr>
          <w:color w:val="auto"/>
        </w:rPr>
        <w:t xml:space="preserve">. Okap z blachy aluminiowej montowany do płyty OSB przymocowanej do ściany za pomocą drewnianej podkonstrukcji. </w:t>
      </w:r>
    </w:p>
    <w:p w:rsidR="00341039" w:rsidRDefault="00341039" w:rsidP="00341039">
      <w:pPr>
        <w:spacing w:line="240" w:lineRule="auto"/>
        <w:jc w:val="both"/>
        <w:rPr>
          <w:color w:val="auto"/>
        </w:rPr>
      </w:pPr>
      <w:r>
        <w:rPr>
          <w:color w:val="auto"/>
        </w:rPr>
        <w:t>Metalowa o</w:t>
      </w:r>
      <w:r w:rsidR="002F5A99">
        <w:rPr>
          <w:color w:val="auto"/>
        </w:rPr>
        <w:t xml:space="preserve">budowa </w:t>
      </w:r>
      <w:r>
        <w:rPr>
          <w:color w:val="auto"/>
        </w:rPr>
        <w:t>okapu  montowana za pomocą systemu konsolowego. Kształt konsoli dostosować indywidualnie, stosować konsole ze stali nierdzewnej.</w:t>
      </w:r>
    </w:p>
    <w:p w:rsidR="00341039" w:rsidRDefault="00341039" w:rsidP="00341039">
      <w:pPr>
        <w:spacing w:line="240" w:lineRule="auto"/>
        <w:jc w:val="both"/>
        <w:rPr>
          <w:color w:val="auto"/>
        </w:rPr>
      </w:pPr>
      <w:bookmarkStart w:id="4" w:name="OLE_LINK2"/>
      <w:r>
        <w:rPr>
          <w:color w:val="auto"/>
        </w:rPr>
        <w:t xml:space="preserve">Ww elementy wykonać na podstawie rysunków technicznych oraz wytycznych producenta. </w:t>
      </w:r>
    </w:p>
    <w:bookmarkEnd w:id="4"/>
    <w:p w:rsidR="008C7215" w:rsidRDefault="008C7215" w:rsidP="00341039">
      <w:pPr>
        <w:spacing w:line="240" w:lineRule="auto"/>
        <w:jc w:val="both"/>
        <w:rPr>
          <w:color w:val="auto"/>
        </w:rPr>
      </w:pPr>
    </w:p>
    <w:p w:rsidR="008C7215" w:rsidRPr="003720FA" w:rsidRDefault="008C7215" w:rsidP="00341039">
      <w:pPr>
        <w:spacing w:line="240" w:lineRule="auto"/>
        <w:jc w:val="both"/>
        <w:rPr>
          <w:color w:val="auto"/>
        </w:rPr>
      </w:pPr>
      <w:r>
        <w:rPr>
          <w:color w:val="auto"/>
          <w:u w:val="single"/>
        </w:rPr>
        <w:t>Blacha perforowana:</w:t>
      </w:r>
      <w:r w:rsidRPr="00AD0859">
        <w:rPr>
          <w:color w:val="auto"/>
        </w:rPr>
        <w:t xml:space="preserve"> </w:t>
      </w:r>
      <w:r>
        <w:rPr>
          <w:color w:val="auto"/>
        </w:rPr>
        <w:t>panele z blachy perforowanej na podkonstrukcji z profilu ceowego montowane do stalowej konstrukcji słupow</w:t>
      </w:r>
      <w:r w:rsidR="00AD0859">
        <w:rPr>
          <w:color w:val="auto"/>
        </w:rPr>
        <w:t xml:space="preserve">o </w:t>
      </w:r>
      <w:r w:rsidR="004A5F91">
        <w:rPr>
          <w:color w:val="auto"/>
        </w:rPr>
        <w:t>–</w:t>
      </w:r>
      <w:r w:rsidR="00AD0859">
        <w:rPr>
          <w:color w:val="auto"/>
        </w:rPr>
        <w:t xml:space="preserve"> ryglowej</w:t>
      </w:r>
      <w:r w:rsidR="004A5F91">
        <w:rPr>
          <w:color w:val="auto"/>
        </w:rPr>
        <w:t xml:space="preserve"> ( </w:t>
      </w:r>
      <w:r w:rsidR="004A5F91" w:rsidRPr="004A5F91">
        <w:rPr>
          <w:color w:val="auto"/>
        </w:rPr>
        <w:t>wg branży – konstrukcja )</w:t>
      </w:r>
      <w:r>
        <w:rPr>
          <w:color w:val="auto"/>
        </w:rPr>
        <w:t xml:space="preserve">. </w:t>
      </w:r>
      <w:r w:rsidR="004A5F91">
        <w:rPr>
          <w:color w:val="auto"/>
        </w:rPr>
        <w:t>Panele wykonane z blachy stalowej, szczotkowanej.</w:t>
      </w:r>
      <w:r w:rsidR="003720FA">
        <w:rPr>
          <w:color w:val="auto"/>
        </w:rPr>
        <w:t xml:space="preserve"> Dokładne wymiary paneli sporządzi producent na podstawie rysunków </w:t>
      </w:r>
      <w:r w:rsidR="004311A1">
        <w:rPr>
          <w:color w:val="auto"/>
        </w:rPr>
        <w:t>technicznych</w:t>
      </w:r>
      <w:r w:rsidR="003720FA">
        <w:rPr>
          <w:color w:val="auto"/>
        </w:rPr>
        <w:t xml:space="preserve"> oraz </w:t>
      </w:r>
      <w:r w:rsidR="004311A1">
        <w:rPr>
          <w:color w:val="auto"/>
        </w:rPr>
        <w:t>po sprawdzeniu</w:t>
      </w:r>
      <w:r w:rsidR="003720FA">
        <w:rPr>
          <w:color w:val="auto"/>
        </w:rPr>
        <w:t xml:space="preserve"> poszczególn</w:t>
      </w:r>
      <w:r w:rsidR="004311A1">
        <w:rPr>
          <w:color w:val="auto"/>
        </w:rPr>
        <w:t>ych wymiarów</w:t>
      </w:r>
      <w:r w:rsidR="003720FA">
        <w:rPr>
          <w:color w:val="auto"/>
        </w:rPr>
        <w:t xml:space="preserve"> na budowie. </w:t>
      </w:r>
      <w:r w:rsidR="00BA19EC" w:rsidRPr="005E050D">
        <w:rPr>
          <w:color w:val="auto"/>
        </w:rPr>
        <w:t xml:space="preserve">Dobór rozmiaru oraz wzoru perforacji na podstawie </w:t>
      </w:r>
      <w:r w:rsidR="005E050D">
        <w:rPr>
          <w:color w:val="auto"/>
        </w:rPr>
        <w:t>dokumen</w:t>
      </w:r>
      <w:r w:rsidR="005E050D" w:rsidRPr="005E050D">
        <w:rPr>
          <w:color w:val="auto"/>
        </w:rPr>
        <w:t>tacji technicznej</w:t>
      </w:r>
      <w:r w:rsidR="00BA19EC" w:rsidRPr="005E050D">
        <w:rPr>
          <w:color w:val="auto"/>
        </w:rPr>
        <w:t>.</w:t>
      </w:r>
    </w:p>
    <w:p w:rsidR="00BA19EC" w:rsidRDefault="00BA19EC" w:rsidP="00341039">
      <w:pPr>
        <w:spacing w:line="240" w:lineRule="auto"/>
        <w:jc w:val="both"/>
        <w:rPr>
          <w:color w:val="auto"/>
        </w:rPr>
      </w:pPr>
    </w:p>
    <w:p w:rsidR="00BA19EC" w:rsidRDefault="00BA19EC" w:rsidP="00341039">
      <w:pPr>
        <w:spacing w:line="240" w:lineRule="auto"/>
        <w:jc w:val="both"/>
        <w:rPr>
          <w:color w:val="auto"/>
        </w:rPr>
      </w:pPr>
      <w:r>
        <w:rPr>
          <w:color w:val="auto"/>
          <w:u w:val="single"/>
        </w:rPr>
        <w:t>Blacha cięto-ciągniona:</w:t>
      </w:r>
      <w:r w:rsidRPr="00BA19EC">
        <w:rPr>
          <w:color w:val="auto"/>
        </w:rPr>
        <w:t xml:space="preserve"> </w:t>
      </w:r>
      <w:r>
        <w:rPr>
          <w:color w:val="auto"/>
        </w:rPr>
        <w:t xml:space="preserve">panele wykonane z blachy stalowej </w:t>
      </w:r>
      <w:r w:rsidRPr="00D54132">
        <w:rPr>
          <w:color w:val="auto"/>
        </w:rPr>
        <w:t>w kolorze zbliżonym do RAL 7021</w:t>
      </w:r>
      <w:r>
        <w:rPr>
          <w:color w:val="auto"/>
        </w:rPr>
        <w:t>.</w:t>
      </w:r>
    </w:p>
    <w:p w:rsidR="00BA19EC" w:rsidRDefault="00BA19EC" w:rsidP="00341039">
      <w:pPr>
        <w:spacing w:line="240" w:lineRule="auto"/>
        <w:jc w:val="both"/>
        <w:rPr>
          <w:color w:val="auto"/>
        </w:rPr>
      </w:pPr>
      <w:r>
        <w:rPr>
          <w:color w:val="auto"/>
        </w:rPr>
        <w:t>Blacha</w:t>
      </w:r>
      <w:r w:rsidR="00642E83">
        <w:rPr>
          <w:color w:val="auto"/>
        </w:rPr>
        <w:t xml:space="preserve"> o przezierności 25% </w:t>
      </w:r>
      <w:r>
        <w:rPr>
          <w:color w:val="auto"/>
        </w:rPr>
        <w:t xml:space="preserve"> na po</w:t>
      </w:r>
      <w:r w:rsidR="00642E83">
        <w:rPr>
          <w:color w:val="auto"/>
        </w:rPr>
        <w:t>dkonstrukcji z profilu ceowego</w:t>
      </w:r>
      <w:r>
        <w:rPr>
          <w:color w:val="auto"/>
        </w:rPr>
        <w:t>. Wymiary oczka – romb</w:t>
      </w:r>
    </w:p>
    <w:p w:rsidR="003D1374" w:rsidRDefault="00BA19EC" w:rsidP="003D1374">
      <w:pPr>
        <w:spacing w:line="240" w:lineRule="auto"/>
        <w:jc w:val="both"/>
        <w:rPr>
          <w:color w:val="auto"/>
        </w:rPr>
      </w:pPr>
      <w:r>
        <w:rPr>
          <w:color w:val="auto"/>
        </w:rPr>
        <w:t>150x56x21,5 mm z blachy o grubości 1,5mm.</w:t>
      </w:r>
      <w:r w:rsidR="003720FA">
        <w:rPr>
          <w:color w:val="auto"/>
        </w:rPr>
        <w:t xml:space="preserve"> Wymiary poszczególnych paneli na podstawie rysunków technicznych.</w:t>
      </w:r>
    </w:p>
    <w:p w:rsidR="003D1374" w:rsidRDefault="003D1374" w:rsidP="003D1374">
      <w:pPr>
        <w:spacing w:line="240" w:lineRule="auto"/>
        <w:jc w:val="both"/>
        <w:rPr>
          <w:color w:val="auto"/>
        </w:rPr>
      </w:pPr>
    </w:p>
    <w:p w:rsidR="003D1374" w:rsidRDefault="003D1374" w:rsidP="003D1374">
      <w:pPr>
        <w:spacing w:line="240" w:lineRule="auto"/>
        <w:jc w:val="both"/>
        <w:rPr>
          <w:bCs/>
          <w:szCs w:val="24"/>
        </w:rPr>
      </w:pPr>
      <w:r w:rsidRPr="005E050D">
        <w:rPr>
          <w:bCs/>
          <w:szCs w:val="24"/>
          <w:u w:val="single"/>
        </w:rPr>
        <w:t>System fasadowy</w:t>
      </w:r>
      <w:r>
        <w:rPr>
          <w:bCs/>
          <w:szCs w:val="24"/>
        </w:rPr>
        <w:t xml:space="preserve"> izolowany termicznie przeznaczony do wykonywania różnych rodzajów zewnętrznych ścian osłonowych oraz świetlików. Konstrukcja nośna składa się z pionowych (słupy) i poziomych (rygle) profili aluminiowych o przekroju skrzynkowym. Profile charakteryzują się małym promieniem zaokrąglenia (0,5mm) widocznych krawędzi oraz stałą szerokością 50mm. Szeroki zakres głębokości profili pozwala na odpowiedni dobór w zależności od warunków statycznych oraz możliwość zlicowania od wewnątrz tylnych ścianek słupa i rygla (uskok tylko 0,5mm). Łączniki mocujące rygle do słupów pozwalają na mocowanie wypełnień  o ciężarze do 600 kg. </w:t>
      </w:r>
      <w:r>
        <w:rPr>
          <w:szCs w:val="24"/>
        </w:rPr>
        <w:t xml:space="preserve">W systemie na zewnątrz nie występują aluminiowe elementy co powoduje powstanie jednolitej elewacji szklanej podzielonej jedynie wąskimi (20mm) spoinami silikonowymi. Szyby EFEKT, </w:t>
      </w:r>
      <w:r>
        <w:rPr>
          <w:bCs/>
          <w:szCs w:val="24"/>
        </w:rPr>
        <w:t>w zakresie grubości 6 ÷ 64 mm</w:t>
      </w:r>
      <w:r>
        <w:rPr>
          <w:szCs w:val="24"/>
        </w:rPr>
        <w:t>,    to specjalny zestaw dwóch (zespolenie jednokomorowe) a nawet trzech szyb (zespolenie dwukomorowe) klejonych strukturalnie ze sobą za pomocą silikonowego spoiwa konstrukcyjnego DC-993. W zestawie szklanym zamocowane są po obwodzie specjalne elementy (gniazda) umożliwiające punktowy montaż szyby do słupów i rygli za pomocą płytek dociskowych</w:t>
      </w:r>
      <w:r>
        <w:rPr>
          <w:bCs/>
          <w:szCs w:val="24"/>
        </w:rPr>
        <w:t>. Fasada posiada kaskadowy system wentylacyjno – drenażowy przestrzeni wrębów przyszybowych. System daje możliwość wpinania okien i drzwi w różnych kompatybilnych systemach okienno – drzwiowych.</w:t>
      </w:r>
    </w:p>
    <w:p w:rsidR="0011096E" w:rsidRDefault="0011096E" w:rsidP="003D1374">
      <w:pPr>
        <w:spacing w:line="240" w:lineRule="auto"/>
        <w:jc w:val="both"/>
        <w:rPr>
          <w:bCs/>
          <w:szCs w:val="24"/>
        </w:rPr>
      </w:pPr>
    </w:p>
    <w:p w:rsidR="0011096E" w:rsidRDefault="0011096E" w:rsidP="003D1374">
      <w:pPr>
        <w:spacing w:line="240" w:lineRule="auto"/>
        <w:jc w:val="both"/>
        <w:rPr>
          <w:bCs/>
          <w:szCs w:val="24"/>
          <w:u w:val="single"/>
        </w:rPr>
      </w:pPr>
      <w:r>
        <w:rPr>
          <w:bCs/>
          <w:szCs w:val="24"/>
          <w:u w:val="single"/>
        </w:rPr>
        <w:t>Fasada ze szkła profilowanego</w:t>
      </w:r>
    </w:p>
    <w:p w:rsidR="0011096E" w:rsidRPr="00DC65ED" w:rsidRDefault="0011096E" w:rsidP="0011096E">
      <w:pPr>
        <w:jc w:val="both"/>
        <w:rPr>
          <w:color w:val="auto"/>
        </w:rPr>
      </w:pPr>
      <w:r>
        <w:rPr>
          <w:color w:val="auto"/>
        </w:rPr>
        <w:t xml:space="preserve">Przeszklenie w postaci dwóch warstw szkła ( zewnętrzne oraz wewnętrzne ) z wkładka termoizolacyjną pomiędzy. Parametry świetlno energetyczne dla przyjętego rozwiązania: </w:t>
      </w:r>
      <w:r>
        <w:rPr>
          <w:color w:val="auto"/>
        </w:rPr>
        <w:lastRenderedPageBreak/>
        <w:t>Ug=0,62 W/m</w:t>
      </w:r>
      <w:r>
        <w:rPr>
          <w:color w:val="auto"/>
          <w:vertAlign w:val="superscript"/>
        </w:rPr>
        <w:t>2</w:t>
      </w:r>
      <w:r w:rsidR="00BB5ABF">
        <w:rPr>
          <w:color w:val="auto"/>
        </w:rPr>
        <w:t>K, (transmisja ś</w:t>
      </w:r>
      <w:bookmarkStart w:id="5" w:name="_GoBack"/>
      <w:bookmarkEnd w:id="5"/>
      <w:r>
        <w:rPr>
          <w:color w:val="auto"/>
        </w:rPr>
        <w:t>wiatła)</w:t>
      </w:r>
      <w:r w:rsidRPr="0011096E">
        <w:rPr>
          <w:color w:val="auto"/>
        </w:rPr>
        <w:t xml:space="preserve"> </w:t>
      </w:r>
      <w:r>
        <w:rPr>
          <w:color w:val="auto"/>
        </w:rPr>
        <w:t xml:space="preserve">LT =0,17, (transmisja energii słonecznej) g=0,24. Elementy konstrukcyjne oraz opierzenia w kolorze RAL 7021. </w:t>
      </w:r>
      <w:bookmarkStart w:id="6" w:name="OLE_LINK15"/>
      <w:bookmarkStart w:id="7" w:name="OLE_LINK16"/>
      <w:bookmarkStart w:id="8" w:name="OLE_LINK17"/>
      <w:bookmarkStart w:id="9" w:name="OLE_LINK14"/>
      <w:r w:rsidRPr="00DC65ED">
        <w:rPr>
          <w:color w:val="auto"/>
        </w:rPr>
        <w:t xml:space="preserve">Dobór </w:t>
      </w:r>
      <w:r>
        <w:rPr>
          <w:color w:val="auto"/>
        </w:rPr>
        <w:t xml:space="preserve">szklenia oraz </w:t>
      </w:r>
      <w:r w:rsidRPr="00DC65ED">
        <w:rPr>
          <w:color w:val="auto"/>
        </w:rPr>
        <w:t>elementów montaż</w:t>
      </w:r>
      <w:r>
        <w:rPr>
          <w:color w:val="auto"/>
        </w:rPr>
        <w:t>owych</w:t>
      </w:r>
      <w:r w:rsidRPr="00DC65ED">
        <w:rPr>
          <w:color w:val="auto"/>
        </w:rPr>
        <w:t xml:space="preserve"> wg </w:t>
      </w:r>
      <w:r>
        <w:rPr>
          <w:color w:val="auto"/>
        </w:rPr>
        <w:t>opracowania technicznego oraz wytycznych</w:t>
      </w:r>
      <w:r w:rsidRPr="00DC65ED">
        <w:rPr>
          <w:color w:val="auto"/>
        </w:rPr>
        <w:t xml:space="preserve"> producenta</w:t>
      </w:r>
      <w:r>
        <w:rPr>
          <w:color w:val="auto"/>
        </w:rPr>
        <w:t xml:space="preserve"> w konsultacji z Projektantem</w:t>
      </w:r>
      <w:r w:rsidRPr="00DC65ED">
        <w:rPr>
          <w:color w:val="auto"/>
        </w:rPr>
        <w:t>.</w:t>
      </w:r>
      <w:bookmarkEnd w:id="6"/>
      <w:bookmarkEnd w:id="7"/>
      <w:bookmarkEnd w:id="8"/>
    </w:p>
    <w:bookmarkEnd w:id="9"/>
    <w:p w:rsidR="0011096E" w:rsidRPr="0011096E" w:rsidRDefault="0011096E" w:rsidP="003D1374">
      <w:pPr>
        <w:spacing w:line="240" w:lineRule="auto"/>
        <w:jc w:val="both"/>
        <w:rPr>
          <w:color w:val="auto"/>
        </w:rPr>
      </w:pPr>
    </w:p>
    <w:p w:rsidR="002F5A99" w:rsidRDefault="002F5A99" w:rsidP="00AD74EE">
      <w:pPr>
        <w:spacing w:line="240" w:lineRule="auto"/>
        <w:jc w:val="both"/>
        <w:rPr>
          <w:color w:val="auto"/>
        </w:rPr>
      </w:pPr>
    </w:p>
    <w:p w:rsidR="00642E83" w:rsidRPr="00D54132" w:rsidRDefault="00642E83" w:rsidP="00642E83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color w:val="auto"/>
        </w:rPr>
      </w:pPr>
      <w:r w:rsidRPr="00642E83">
        <w:rPr>
          <w:color w:val="auto"/>
          <w:u w:val="single"/>
        </w:rPr>
        <w:t>Izolacja termiczna</w:t>
      </w:r>
      <w:r w:rsidRPr="00D54132">
        <w:rPr>
          <w:color w:val="auto"/>
        </w:rPr>
        <w:t xml:space="preserve"> – wełna mineralna grubości 20cm z </w:t>
      </w:r>
      <w:r>
        <w:rPr>
          <w:color w:val="auto"/>
        </w:rPr>
        <w:t>wiatroizolacją</w:t>
      </w:r>
      <w:r w:rsidRPr="00D54132">
        <w:rPr>
          <w:color w:val="auto"/>
        </w:rPr>
        <w:t>.</w:t>
      </w:r>
    </w:p>
    <w:p w:rsidR="00642E83" w:rsidRPr="00D54132" w:rsidRDefault="00642E83" w:rsidP="00642E83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color w:val="auto"/>
        </w:rPr>
      </w:pPr>
      <w:r w:rsidRPr="00642E83">
        <w:rPr>
          <w:color w:val="auto"/>
          <w:u w:val="single"/>
        </w:rPr>
        <w:t>Opierzenia</w:t>
      </w:r>
      <w:r w:rsidRPr="00D54132">
        <w:rPr>
          <w:color w:val="auto"/>
        </w:rPr>
        <w:t xml:space="preserve"> - blacha aluminiowa łączona na rąbek stojący w kolorze zbliżonym do RAL 7021.</w:t>
      </w:r>
    </w:p>
    <w:p w:rsidR="00642E83" w:rsidRPr="00126619" w:rsidRDefault="00642E83" w:rsidP="00642E83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color w:val="FF0000"/>
        </w:rPr>
      </w:pPr>
      <w:r w:rsidRPr="00642E83">
        <w:rPr>
          <w:color w:val="auto"/>
          <w:u w:val="single"/>
        </w:rPr>
        <w:t>Kolce przeciwko ptakom</w:t>
      </w:r>
      <w:r w:rsidRPr="00D54132">
        <w:rPr>
          <w:color w:val="auto"/>
        </w:rPr>
        <w:t xml:space="preserve"> - stal nierdzewna na listwie z poliwęglanu.</w:t>
      </w:r>
      <w:r w:rsidRPr="00126619">
        <w:rPr>
          <w:color w:val="FF0000"/>
        </w:rPr>
        <w:t xml:space="preserve"> </w:t>
      </w:r>
      <w:r w:rsidRPr="00D54132">
        <w:rPr>
          <w:color w:val="auto"/>
        </w:rPr>
        <w:t>Dokładna lokalizacja w/w elementów w uzgodnieniu z kierownikiem projektu</w:t>
      </w:r>
    </w:p>
    <w:p w:rsidR="002F5A99" w:rsidRDefault="002F5A99" w:rsidP="00AD74EE">
      <w:pPr>
        <w:spacing w:line="240" w:lineRule="auto"/>
        <w:jc w:val="both"/>
        <w:rPr>
          <w:color w:val="auto"/>
        </w:rPr>
      </w:pPr>
    </w:p>
    <w:p w:rsidR="00177C78" w:rsidRPr="00001621" w:rsidRDefault="00177C78" w:rsidP="00AD74EE">
      <w:pPr>
        <w:spacing w:line="240" w:lineRule="auto"/>
        <w:jc w:val="both"/>
        <w:rPr>
          <w:rStyle w:val="Wyrnieniedelikatne"/>
          <w:i w:val="0"/>
          <w:iCs w:val="0"/>
          <w:color w:val="auto"/>
          <w:u w:val="single"/>
        </w:rPr>
      </w:pPr>
      <w:r w:rsidRPr="00001621">
        <w:rPr>
          <w:rStyle w:val="Wyrnieniedelikatne"/>
          <w:i w:val="0"/>
          <w:iCs w:val="0"/>
          <w:color w:val="auto"/>
          <w:u w:val="single"/>
        </w:rPr>
        <w:t>Uwagi ogólne</w:t>
      </w:r>
    </w:p>
    <w:p w:rsidR="00177C78" w:rsidRPr="00001621" w:rsidRDefault="00177C78" w:rsidP="00AD74EE">
      <w:pPr>
        <w:spacing w:line="240" w:lineRule="auto"/>
        <w:jc w:val="both"/>
        <w:rPr>
          <w:rStyle w:val="Wyrnieniedelikatne"/>
          <w:i w:val="0"/>
          <w:iCs w:val="0"/>
          <w:color w:val="auto"/>
        </w:rPr>
      </w:pPr>
      <w:r w:rsidRPr="00001621">
        <w:rPr>
          <w:rStyle w:val="Wyrnieniedelikatne"/>
          <w:i w:val="0"/>
          <w:iCs w:val="0"/>
          <w:color w:val="auto"/>
        </w:rPr>
        <w:t>Wyroby, materiały oraz systemy powinny posiadać oznakowanie CE i deklaracje zgodności z wymogami norm europejskich lub europejską aprobatę techniczną wraz z certyfikatem zgodności.</w:t>
      </w:r>
    </w:p>
    <w:p w:rsidR="00177C78" w:rsidRPr="00001621" w:rsidRDefault="00177C78" w:rsidP="00AD74EE">
      <w:pPr>
        <w:spacing w:line="240" w:lineRule="auto"/>
        <w:jc w:val="both"/>
        <w:rPr>
          <w:color w:val="auto"/>
        </w:rPr>
      </w:pPr>
      <w:r w:rsidRPr="00001621">
        <w:rPr>
          <w:color w:val="auto"/>
        </w:rPr>
        <w:t>Systemy powinny posiadać dopuszczenie do stosowania w budownictwie lub też dla systemu powinna zostać sporządzona dokumentacja jak dla wyrobu jednostkowego.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3. SPRZĘT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Używany sprzęt powinien mieć wszelkie aktualnie wymagane dokumenty, dopuszczające go do stosowania, potwierdzone przez dozór techniczny.</w:t>
      </w:r>
    </w:p>
    <w:p w:rsidR="00177C78" w:rsidRDefault="00177C78" w:rsidP="00AD74EE">
      <w:pPr>
        <w:spacing w:line="240" w:lineRule="auto"/>
        <w:jc w:val="both"/>
      </w:pPr>
      <w:r>
        <w:t>Stosowany sprzęt powinien być utrzymany w ciągłej sprawności technicznej, winien być należycie konserwowany a okresowe przeglądy wykonane systematycznie i zgodnie z przepisami, winny być potwierdzone odpowiednimi dokumentami.</w:t>
      </w:r>
    </w:p>
    <w:p w:rsidR="00177C78" w:rsidRDefault="00177C78" w:rsidP="00AD74EE">
      <w:pPr>
        <w:spacing w:line="240" w:lineRule="auto"/>
        <w:jc w:val="both"/>
      </w:pPr>
      <w:r>
        <w:t>Sprzęt powinien być zawsze zabezpieczony przed użyciem go przez osoby niepowołane, nieodpowiednie czy nieprzygotowane do jego użycia.</w:t>
      </w:r>
    </w:p>
    <w:p w:rsidR="00177C78" w:rsidRDefault="00177C78" w:rsidP="00AD74EE">
      <w:pPr>
        <w:spacing w:line="240" w:lineRule="auto"/>
        <w:jc w:val="both"/>
      </w:pPr>
      <w:r>
        <w:t>Narzędzie ręczne do prac tynkarskich i malarskich powinny być czyste i zdatne do użycia.</w:t>
      </w:r>
    </w:p>
    <w:p w:rsidR="00177C78" w:rsidRDefault="00177C78" w:rsidP="00AD74EE">
      <w:pPr>
        <w:spacing w:line="240" w:lineRule="auto"/>
        <w:jc w:val="both"/>
      </w:pPr>
      <w:r>
        <w:t>Roboty elewacyjne będą wykonywane z rusztowania systemowego. Montaż rusztowania należy wykonać z przepisami BHP i normami obowiązującymi dla montażu i użytkowania rusztowania ramowego zewnętrznego.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4. TRANSPORT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Wykonawca jest odpowiedzialny za dostarczenie na teren budowy w ramach oferowanej ceny wszelkiego sprzętu i wszelkich materiałów wymaganych w celu prowadzenia robót.</w:t>
      </w:r>
    </w:p>
    <w:p w:rsidR="00177C78" w:rsidRDefault="00177C78" w:rsidP="00AD74EE">
      <w:pPr>
        <w:spacing w:line="240" w:lineRule="auto"/>
        <w:jc w:val="both"/>
      </w:pPr>
      <w:r>
        <w:t>Materiały powinny być przewożone odpowiednim środkiem transportu.</w:t>
      </w:r>
    </w:p>
    <w:p w:rsidR="00177C78" w:rsidRDefault="00177C78" w:rsidP="00AD74EE">
      <w:pPr>
        <w:spacing w:line="240" w:lineRule="auto"/>
        <w:jc w:val="both"/>
      </w:pPr>
      <w:r>
        <w:t>Za ewentualną utratę i uszkodzenia odpowiada Wykonawca.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5. KONTROLA JAKOŚCI ROBÓT</w:t>
      </w:r>
    </w:p>
    <w:p w:rsidR="00177C78" w:rsidRDefault="00177C78" w:rsidP="00AD74EE">
      <w:pPr>
        <w:spacing w:line="240" w:lineRule="auto"/>
        <w:jc w:val="both"/>
        <w:rPr>
          <w:b/>
          <w:bCs/>
        </w:rPr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FD65AF">
      <w:pPr>
        <w:spacing w:line="240" w:lineRule="auto"/>
        <w:jc w:val="both"/>
      </w:pPr>
      <w:r>
        <w:lastRenderedPageBreak/>
        <w:t>System kontroli materiałów i prac prowadzony przez Wykonawcę.</w:t>
      </w:r>
    </w:p>
    <w:p w:rsidR="00177C78" w:rsidRDefault="00177C78" w:rsidP="00FD65AF">
      <w:pPr>
        <w:spacing w:line="240" w:lineRule="auto"/>
        <w:jc w:val="both"/>
      </w:pPr>
      <w:r>
        <w:t>Dane dot. produktu: Wykonawca zobowiązany jest dostarczyć dane od producenta dotyczące stosowanych produktów, wraz z instrukcją wykonania i odpowiednimi atestami i certyfikatami.</w:t>
      </w:r>
    </w:p>
    <w:p w:rsidR="00177C78" w:rsidRDefault="00177C78" w:rsidP="00FD65AF">
      <w:pPr>
        <w:spacing w:line="240" w:lineRule="auto"/>
        <w:jc w:val="both"/>
      </w:pPr>
      <w:r>
        <w:t>Należy w miarę możliwości stosować elementy prefabrykowane w wytwórni eliminując prace na budowie do niezbędnego minimum.</w:t>
      </w:r>
    </w:p>
    <w:p w:rsidR="00177C78" w:rsidRDefault="00177C78" w:rsidP="00FD65AF">
      <w:pPr>
        <w:spacing w:line="240" w:lineRule="auto"/>
        <w:jc w:val="both"/>
      </w:pPr>
      <w:r>
        <w:t>Przed dostarczeniem na budowę należy nanieść warsztatowo wszystkie projektowane warstwy wykończenia, gwarantujące ustaloną jakość wyrobu.</w:t>
      </w:r>
    </w:p>
    <w:p w:rsidR="00177C78" w:rsidRDefault="00177C78" w:rsidP="00FD65AF">
      <w:pPr>
        <w:spacing w:line="240" w:lineRule="auto"/>
        <w:jc w:val="both"/>
      </w:pPr>
      <w:r>
        <w:t>Podczas montażu należy zachować tolerancje wymiarowe stosownie do norm producenta.</w:t>
      </w:r>
    </w:p>
    <w:p w:rsidR="00177C78" w:rsidRDefault="00177C78" w:rsidP="00FD65AF">
      <w:pPr>
        <w:spacing w:line="240" w:lineRule="auto"/>
        <w:jc w:val="both"/>
      </w:pPr>
      <w:r>
        <w:t>Prace montażowe na budowie należy przestrzegając ściśle instrukcji montażowych producenta.</w:t>
      </w:r>
    </w:p>
    <w:p w:rsidR="00177C78" w:rsidRDefault="00177C78" w:rsidP="00A228FE"/>
    <w:p w:rsidR="00177C78" w:rsidRDefault="00177C78" w:rsidP="00A228FE">
      <w:r>
        <w:t>Wykonawca jest odpowiedzialny za pełną kontrolę jakości robót, materiałów i urządzeń. Wykonawca zapewni odpowiedni system i środki techniczne do kontroli jakości robót na terenie i poza placem budowy. Wszystkie badania i pomiary będą przeprowadzane zgodnie z wymaganiami Norm lub Aprobat Technicznych przez jednostki posiadające odpowiednie uprawnienia budowlane.</w:t>
      </w:r>
    </w:p>
    <w:p w:rsidR="00177C78" w:rsidRDefault="00177C78" w:rsidP="00AD74EE">
      <w:pPr>
        <w:spacing w:line="240" w:lineRule="auto"/>
        <w:jc w:val="both"/>
      </w:pPr>
    </w:p>
    <w:p w:rsidR="00177C78" w:rsidRDefault="001B6B9F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6</w:t>
      </w:r>
      <w:r w:rsidR="00177C78">
        <w:rPr>
          <w:b/>
          <w:bCs/>
        </w:rPr>
        <w:t>. OBMIAR ROBÓT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3720FA" w:rsidRDefault="003720FA" w:rsidP="00AD74EE">
      <w:pPr>
        <w:spacing w:line="240" w:lineRule="auto"/>
        <w:jc w:val="both"/>
      </w:pPr>
    </w:p>
    <w:p w:rsidR="003720FA" w:rsidRDefault="003720FA" w:rsidP="00AD74EE">
      <w:pPr>
        <w:spacing w:line="240" w:lineRule="auto"/>
        <w:jc w:val="both"/>
      </w:pPr>
    </w:p>
    <w:p w:rsidR="00177C78" w:rsidRDefault="001B6B9F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7</w:t>
      </w:r>
      <w:r w:rsidR="00177C78">
        <w:rPr>
          <w:b/>
          <w:bCs/>
        </w:rPr>
        <w:t>. ODBIÓR ROBÓT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Zasady ogólne</w:t>
      </w:r>
    </w:p>
    <w:p w:rsidR="00177C78" w:rsidRDefault="00177C78" w:rsidP="00AD74EE">
      <w:pPr>
        <w:spacing w:line="240" w:lineRule="auto"/>
        <w:jc w:val="both"/>
      </w:pPr>
      <w:r>
        <w:t>Jeżeli w toku czynności odbioru zostaną stwierdzone wady, to Zamawiającemu przysługują następujące uprawnienia:</w:t>
      </w:r>
    </w:p>
    <w:p w:rsidR="00177C78" w:rsidRDefault="00177C78" w:rsidP="00AD74EE">
      <w:pPr>
        <w:spacing w:line="240" w:lineRule="auto"/>
        <w:jc w:val="both"/>
      </w:pPr>
      <w:r>
        <w:t>- jeżeli wady nadają się do usunięcia, może odmówić odbioru do czasu usunięcia wad,</w:t>
      </w:r>
    </w:p>
    <w:p w:rsidR="00177C78" w:rsidRDefault="00177C78" w:rsidP="00AD74EE">
      <w:pPr>
        <w:spacing w:line="240" w:lineRule="auto"/>
        <w:jc w:val="both"/>
      </w:pPr>
      <w:r>
        <w:t>- jeżeli wady uniemożliwiają użytkowanie zgodnie z przeznaczeniem, Zamawiający na wniosek Menedżera Projektu może odstąpić od umowy lub żądać wykonania przedmiotu odbioru po raz drugi.</w:t>
      </w:r>
    </w:p>
    <w:p w:rsidR="00177C78" w:rsidRDefault="00177C78" w:rsidP="00AD74EE">
      <w:pPr>
        <w:spacing w:line="240" w:lineRule="auto"/>
        <w:jc w:val="both"/>
      </w:pPr>
      <w:r>
        <w:t>Z czynności odbioru będzie spisany protokół zawierający wszelkie ustalenia dokonane w toku odbioru, jak też terminy wyznaczone na usunięcie stwierdzonych przy odbiorze wad.</w:t>
      </w:r>
    </w:p>
    <w:p w:rsidR="00177C78" w:rsidRDefault="00177C78" w:rsidP="00AD74EE">
      <w:pPr>
        <w:spacing w:line="240" w:lineRule="auto"/>
        <w:jc w:val="both"/>
      </w:pPr>
      <w:r>
        <w:t>Wykonawca zobowiązany jest do zawiadomienia Inżyniera o usunięciu wad, oraz do żądania wyznaczenia terminu na odbiór zakwestionowanych uprzednio robót jako wadliwych.</w:t>
      </w:r>
    </w:p>
    <w:p w:rsidR="00177C78" w:rsidRDefault="00177C78" w:rsidP="00AD74EE">
      <w:pPr>
        <w:spacing w:line="240" w:lineRule="auto"/>
        <w:jc w:val="both"/>
      </w:pPr>
      <w:r>
        <w:t>Zamawiający może podjąć decyzję o przerwaniu czynności odbioru, jeżeli w czasie tych czynności ujawniono istnienie takich wad, które uniemożliwiają użytkowanie przedmiotu umowy zgodnie z przeznaczeniem aż do czasu usunięcia tych wad.</w:t>
      </w:r>
    </w:p>
    <w:p w:rsidR="00177C78" w:rsidRDefault="00177C78" w:rsidP="00AD74EE">
      <w:pPr>
        <w:spacing w:line="240" w:lineRule="auto"/>
        <w:jc w:val="both"/>
      </w:pPr>
      <w:r>
        <w:t>Przy odbiorze końcowym należy przedłożyć protokoły odbiorów częściowych, badań szczelności, a także sprawdzić zgodność stanu istniejącego z dokumentacją techniczną.</w:t>
      </w:r>
    </w:p>
    <w:p w:rsidR="00177C78" w:rsidRDefault="00177C78" w:rsidP="00AD74EE">
      <w:pPr>
        <w:spacing w:line="240" w:lineRule="auto"/>
        <w:jc w:val="both"/>
      </w:pPr>
    </w:p>
    <w:p w:rsidR="00177C78" w:rsidRDefault="001B6B9F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8</w:t>
      </w:r>
      <w:r w:rsidR="00177C78">
        <w:rPr>
          <w:b/>
          <w:bCs/>
        </w:rPr>
        <w:t>. PODSTAWA PŁATNOŚCI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Default="00177C78" w:rsidP="00AD74EE">
      <w:pPr>
        <w:spacing w:line="240" w:lineRule="auto"/>
        <w:jc w:val="both"/>
      </w:pPr>
      <w:r>
        <w:t>W cenie jednostkowej należy uwzględnić: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 xml:space="preserve">dostawę i montaż elementów </w:t>
      </w:r>
      <w:r w:rsidRPr="00AE1140">
        <w:rPr>
          <w:color w:val="auto"/>
        </w:rPr>
        <w:t>fasad szklanych</w:t>
      </w:r>
      <w:r>
        <w:t>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dostawę i montaż okładzin betonowych,</w:t>
      </w:r>
    </w:p>
    <w:p w:rsidR="003720FA" w:rsidRDefault="003720FA" w:rsidP="003720FA">
      <w:pPr>
        <w:numPr>
          <w:ilvl w:val="0"/>
          <w:numId w:val="14"/>
        </w:numPr>
        <w:spacing w:line="240" w:lineRule="auto"/>
        <w:ind w:left="426"/>
        <w:jc w:val="both"/>
      </w:pPr>
      <w:r>
        <w:lastRenderedPageBreak/>
        <w:t>dostawę i montaż cegły elewacyjnej,</w:t>
      </w:r>
    </w:p>
    <w:p w:rsidR="003720FA" w:rsidRDefault="003720FA" w:rsidP="003720FA">
      <w:pPr>
        <w:numPr>
          <w:ilvl w:val="0"/>
          <w:numId w:val="14"/>
        </w:numPr>
        <w:spacing w:line="240" w:lineRule="auto"/>
        <w:ind w:left="426"/>
        <w:jc w:val="both"/>
      </w:pPr>
      <w:r>
        <w:t>dostawę i montaż okładziny z blachy: płaskiej, perforowanej i ciętociągnionej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opracowania i uzgodnienia projektu elewacji (wraz z szczegółowymi rysunkami warsztatowymi wykonanymi na podstawie niezbędnych obliczeń konstrukcyjnych),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dostawę, montaż, demontaż i wywóz niezbędnych systemów rusztowań,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oczyszczania elewacji,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wynajmu, montażu, demontażu i utrzymania rusztowania na budowie,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bieżącego utrzymania porządku w obszarze prowadzonych prac,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wszystkie nakłady niezbędne dla zapewnienia bezpiecznego prowadzenia prac, z zachowaniem obowiązujących przepisów;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wysoki standard wykonania,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wszelkie roboty pomocnicze i dodatkowe konieczne do wykonania kompletnego zakresu robót,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zakup i dostawę odpowiednich systemów mocujących,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połączenia i zaizolowanie połączeń elementów z resztą budynku tj. wszystkie wewnętrzne i zewnętrzne obróbki,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inne prace związane z koordynacją między branżami,</w:t>
      </w:r>
    </w:p>
    <w:p w:rsidR="00177C78" w:rsidRDefault="00177C78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czyszczenie końcowe.</w:t>
      </w:r>
    </w:p>
    <w:p w:rsidR="00177C78" w:rsidRDefault="00177C78" w:rsidP="00AD74EE">
      <w:pPr>
        <w:spacing w:line="240" w:lineRule="auto"/>
        <w:jc w:val="both"/>
        <w:rPr>
          <w:b/>
          <w:bCs/>
        </w:rPr>
      </w:pPr>
    </w:p>
    <w:p w:rsidR="00177C78" w:rsidRDefault="00177C78" w:rsidP="00AD74EE">
      <w:pPr>
        <w:spacing w:line="240" w:lineRule="auto"/>
        <w:jc w:val="both"/>
        <w:rPr>
          <w:b/>
          <w:bCs/>
        </w:rPr>
      </w:pPr>
    </w:p>
    <w:p w:rsidR="00177C78" w:rsidRDefault="001B6B9F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9</w:t>
      </w:r>
      <w:r w:rsidR="00177C78">
        <w:rPr>
          <w:b/>
          <w:bCs/>
        </w:rPr>
        <w:t>. DOKUMENTY ODNIESIENIA</w:t>
      </w:r>
    </w:p>
    <w:p w:rsidR="00177C78" w:rsidRDefault="00177C78" w:rsidP="00AD74EE">
      <w:pPr>
        <w:spacing w:line="240" w:lineRule="auto"/>
        <w:jc w:val="both"/>
        <w:rPr>
          <w:b/>
          <w:bCs/>
        </w:rPr>
      </w:pPr>
    </w:p>
    <w:p w:rsidR="00177C78" w:rsidRDefault="00177C78" w:rsidP="00AD74EE">
      <w:pPr>
        <w:spacing w:line="240" w:lineRule="auto"/>
        <w:jc w:val="both"/>
      </w:pPr>
      <w:r>
        <w:t>Wymagania ogólne wg ST 00.01</w:t>
      </w:r>
    </w:p>
    <w:p w:rsidR="00177C78" w:rsidRDefault="00177C78" w:rsidP="00AD74EE">
      <w:pPr>
        <w:spacing w:line="240" w:lineRule="auto"/>
        <w:jc w:val="both"/>
      </w:pPr>
    </w:p>
    <w:p w:rsidR="00177C78" w:rsidRPr="00037B63" w:rsidRDefault="00177C78" w:rsidP="00AD74EE">
      <w:pPr>
        <w:spacing w:line="240" w:lineRule="auto"/>
        <w:jc w:val="both"/>
        <w:rPr>
          <w:i/>
          <w:iCs/>
        </w:rPr>
      </w:pPr>
      <w:r w:rsidRPr="00037B63">
        <w:rPr>
          <w:i/>
          <w:iCs/>
        </w:rPr>
        <w:t>Wszelkie roboty należy wykonywać zgodnie z obowiązującymi i/lub wydanymi normami i przepisami (chyba, że Zamawiający wymaga zastosowania wyższych standardów),</w:t>
      </w:r>
    </w:p>
    <w:p w:rsidR="00177C78" w:rsidRPr="00F75BB8" w:rsidRDefault="00177C78" w:rsidP="00627392">
      <w:pPr>
        <w:shd w:val="clear" w:color="auto" w:fill="FFFFFF"/>
        <w:rPr>
          <w:color w:val="auto"/>
        </w:rPr>
      </w:pPr>
    </w:p>
    <w:p w:rsidR="00177C78" w:rsidRPr="00F75BB8" w:rsidRDefault="00177C78" w:rsidP="00627392">
      <w:pPr>
        <w:shd w:val="clear" w:color="auto" w:fill="FFFFFF"/>
        <w:rPr>
          <w:color w:val="auto"/>
        </w:rPr>
      </w:pPr>
      <w:r w:rsidRPr="00F75BB8">
        <w:rPr>
          <w:color w:val="auto"/>
        </w:rPr>
        <w:t>PN-EN 1990:2004 - Eurokod -- Podstawy projektowania konstrukcji</w:t>
      </w:r>
    </w:p>
    <w:p w:rsidR="00177C78" w:rsidRPr="00F75BB8" w:rsidRDefault="00177C78" w:rsidP="00627392">
      <w:pPr>
        <w:shd w:val="clear" w:color="auto" w:fill="FFFFFF"/>
        <w:rPr>
          <w:color w:val="auto"/>
        </w:rPr>
      </w:pPr>
      <w:r w:rsidRPr="00F75BB8">
        <w:rPr>
          <w:color w:val="auto"/>
        </w:rPr>
        <w:t>PN-EN 1991-1-4:2008 - Eurokod 1: Oddziaływania na konstrukcje -- Część 1-4: Oddziaływania ogólne -- Oddziaływania wiatru</w:t>
      </w:r>
    </w:p>
    <w:p w:rsidR="00177C78" w:rsidRPr="00F75BB8" w:rsidRDefault="00177C78" w:rsidP="00F75BB8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sz w:val="22"/>
          <w:szCs w:val="22"/>
        </w:rPr>
        <w:t xml:space="preserve">PN-EN 1991-1-3:2005 </w:t>
      </w:r>
      <w:r w:rsidRPr="00F75BB8">
        <w:rPr>
          <w:b w:val="0"/>
          <w:bCs w:val="0"/>
          <w:sz w:val="22"/>
          <w:szCs w:val="22"/>
          <w:shd w:val="clear" w:color="auto" w:fill="FFFFFF"/>
        </w:rPr>
        <w:t>Eurokod 1 -- Oddziaływania na konstrukcje -- Część 1-3: Oddziaływania ogólne -- Obciążenie śniegiem</w:t>
      </w:r>
    </w:p>
    <w:p w:rsidR="00177C78" w:rsidRPr="00286DCE" w:rsidRDefault="00177C78" w:rsidP="00627392">
      <w:pPr>
        <w:pStyle w:val="Nagwek1"/>
        <w:shd w:val="clear" w:color="auto" w:fill="FFFFFF"/>
        <w:spacing w:before="0" w:after="0"/>
        <w:rPr>
          <w:color w:val="0071B9"/>
          <w:sz w:val="32"/>
          <w:szCs w:val="32"/>
        </w:rPr>
      </w:pPr>
      <w:r w:rsidRPr="00F75BB8">
        <w:rPr>
          <w:b w:val="0"/>
          <w:bCs w:val="0"/>
          <w:color w:val="auto"/>
          <w:sz w:val="22"/>
          <w:szCs w:val="22"/>
        </w:rPr>
        <w:t>PN-EN 1993-1-1:2006</w:t>
      </w:r>
      <w:r w:rsidR="00286DCE">
        <w:rPr>
          <w:color w:val="0071B9"/>
          <w:sz w:val="32"/>
          <w:szCs w:val="32"/>
        </w:rPr>
        <w:t xml:space="preserve">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3: Projektowanie konstrukcji stalowych -- Część 1-1: Reguły ogólne i reguły dla budynków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1993-1-8:2006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3: Projektowanie konstrukcji stalowych -- Część 1-8: Projektowanie węzłów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1993-1-10:2007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3: Projektowanie konstrukcji stalowych -- Część 1-10: Dobór stali ze względu na odporność na kruche pękanie i ciągliwość międzywarstwową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1993-1-4:2007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1-4: Reguły ogólne -- Reguły uzupełniające dla konstrukcji ze stali nierdzewnych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1993-1-5:2008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1-5: Blachownice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1993-1-11:2008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1-11: Konstrukcje cięgnowe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1993-1-7:2008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1-7: Konstrukcje płytowe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lastRenderedPageBreak/>
        <w:t xml:space="preserve">PN-EN 1993-1-6:2009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1-6: Wytrzymałość i stateczność konstrukcji powłokowych</w:t>
      </w:r>
    </w:p>
    <w:p w:rsidR="00177C78" w:rsidRPr="00F75BB8" w:rsidRDefault="00177C78" w:rsidP="0062739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1993-1-12:2008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1-12: Reguły dodatkowe rozszerzające zakres stosowania EN 1993 o gatunki stali wysokiej wytrzymałości do S 700 włącznie</w:t>
      </w:r>
    </w:p>
    <w:p w:rsidR="00177C78" w:rsidRPr="00F75BB8" w:rsidRDefault="00177C78" w:rsidP="00AD74EE">
      <w:pPr>
        <w:spacing w:line="240" w:lineRule="auto"/>
        <w:jc w:val="both"/>
        <w:rPr>
          <w:i/>
          <w:iCs/>
          <w:color w:val="auto"/>
        </w:rPr>
      </w:pPr>
      <w:r w:rsidRPr="00F75BB8">
        <w:rPr>
          <w:color w:val="auto"/>
        </w:rPr>
        <w:t xml:space="preserve">PN-EN 1008:2004 </w:t>
      </w:r>
      <w:r w:rsidRPr="00F75BB8">
        <w:rPr>
          <w:color w:val="auto"/>
          <w:shd w:val="clear" w:color="auto" w:fill="FFFFFF"/>
        </w:rPr>
        <w:t>Woda zarobowa do betonu -- Specyfikacja pobierania próbek, badanie i ocena przydatności wody zarobowej do betonu, w tym wody odzyskanej z procesów produkcji betonu</w:t>
      </w:r>
    </w:p>
    <w:p w:rsidR="00177C78" w:rsidRPr="00F75BB8" w:rsidRDefault="00177C78" w:rsidP="00AD74EE">
      <w:pPr>
        <w:spacing w:line="240" w:lineRule="auto"/>
        <w:jc w:val="both"/>
        <w:rPr>
          <w:i/>
          <w:iCs/>
          <w:color w:val="auto"/>
        </w:rPr>
      </w:pPr>
      <w:r w:rsidRPr="00F75BB8">
        <w:rPr>
          <w:i/>
          <w:iCs/>
          <w:color w:val="auto"/>
        </w:rPr>
        <w:t>PN-ISO –9000/Seria 9000,9001,9002,9003,9004/ Normy dotyczące systemów zapewnienia jakości i zarządzanie systemami zapewnienia jakości</w:t>
      </w:r>
    </w:p>
    <w:p w:rsidR="00177C78" w:rsidRPr="00F75BB8" w:rsidRDefault="00177C78" w:rsidP="00AD74EE">
      <w:pPr>
        <w:spacing w:line="240" w:lineRule="auto"/>
        <w:jc w:val="both"/>
        <w:rPr>
          <w:i/>
          <w:iCs/>
          <w:color w:val="auto"/>
        </w:rPr>
      </w:pPr>
      <w:r w:rsidRPr="00F75BB8">
        <w:rPr>
          <w:color w:val="auto"/>
        </w:rPr>
        <w:t xml:space="preserve">PN-C-81913:1998 </w:t>
      </w:r>
      <w:r w:rsidRPr="00F75BB8">
        <w:rPr>
          <w:color w:val="auto"/>
          <w:shd w:val="clear" w:color="auto" w:fill="FFFFFF"/>
        </w:rPr>
        <w:t>Farby dyspersyjne do malowania elewacji budynków</w:t>
      </w:r>
    </w:p>
    <w:p w:rsidR="00177C78" w:rsidRPr="00F75BB8" w:rsidRDefault="00177C78" w:rsidP="00F75BB8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F75BB8">
        <w:rPr>
          <w:b w:val="0"/>
          <w:bCs w:val="0"/>
          <w:color w:val="auto"/>
          <w:sz w:val="22"/>
          <w:szCs w:val="22"/>
        </w:rPr>
        <w:t>PN-M-47900-1:1996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Rusztowania stojące metalowe robocze -- Określenia, podział i główne parametry</w:t>
      </w:r>
    </w:p>
    <w:p w:rsidR="00177C78" w:rsidRPr="00F75BB8" w:rsidRDefault="00177C78" w:rsidP="00AD74EE">
      <w:pPr>
        <w:spacing w:line="240" w:lineRule="auto"/>
        <w:jc w:val="both"/>
        <w:rPr>
          <w:i/>
          <w:iCs/>
          <w:color w:val="auto"/>
        </w:rPr>
      </w:pPr>
      <w:r w:rsidRPr="00F75BB8">
        <w:rPr>
          <w:color w:val="auto"/>
        </w:rPr>
        <w:t xml:space="preserve">PN-EN 74-1:2006 </w:t>
      </w:r>
      <w:r w:rsidRPr="00F75BB8">
        <w:rPr>
          <w:color w:val="auto"/>
          <w:shd w:val="clear" w:color="auto" w:fill="FFFFFF"/>
        </w:rPr>
        <w:t>Złącza, sworznie centrujące i podstawki stosowane w deskowaniach i rusztowaniach -- Część 1: Złącza do rur -- Wymagania i metody badań</w:t>
      </w:r>
    </w:p>
    <w:p w:rsidR="00177C78" w:rsidRPr="00F75BB8" w:rsidRDefault="00177C78" w:rsidP="00FD5B21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PN-EN 13139:2003 -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Kruszywa do zaprawy</w:t>
      </w:r>
    </w:p>
    <w:p w:rsidR="00177C78" w:rsidRPr="00F75BB8" w:rsidRDefault="00177C78" w:rsidP="00F75BB8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F75BB8">
        <w:rPr>
          <w:b w:val="0"/>
          <w:bCs w:val="0"/>
          <w:color w:val="auto"/>
          <w:sz w:val="22"/>
          <w:szCs w:val="22"/>
        </w:rPr>
        <w:t xml:space="preserve">PN-B-10110:2005 - </w:t>
      </w:r>
      <w:r w:rsidRPr="00F75BB8">
        <w:rPr>
          <w:b w:val="0"/>
          <w:bCs w:val="0"/>
          <w:color w:val="auto"/>
          <w:sz w:val="22"/>
          <w:szCs w:val="22"/>
          <w:shd w:val="clear" w:color="auto" w:fill="FFFFFF"/>
        </w:rPr>
        <w:t>Tynki gipsowe wykonywane mechanicznie -- Zasady wykonywania i wymagania techniczne</w:t>
      </w:r>
    </w:p>
    <w:p w:rsidR="00177C78" w:rsidRPr="00037B63" w:rsidRDefault="00177C78" w:rsidP="00AD74EE">
      <w:pPr>
        <w:spacing w:line="240" w:lineRule="auto"/>
        <w:jc w:val="both"/>
        <w:rPr>
          <w:i/>
          <w:iCs/>
        </w:rPr>
      </w:pPr>
    </w:p>
    <w:p w:rsidR="00177C78" w:rsidRPr="00037B63" w:rsidRDefault="00177C78" w:rsidP="00AD74EE">
      <w:pPr>
        <w:spacing w:line="240" w:lineRule="auto"/>
        <w:jc w:val="both"/>
        <w:rPr>
          <w:i/>
          <w:iCs/>
        </w:rPr>
      </w:pPr>
      <w:r w:rsidRPr="00037B63">
        <w:rPr>
          <w:i/>
          <w:iCs/>
        </w:rPr>
        <w:t>inne PN (EN-PN) lub odpowiednie normy krajów UE w zakresie przyjętym przez polskie prawodawstwo dla tych robót.</w:t>
      </w:r>
    </w:p>
    <w:sectPr w:rsidR="00177C78" w:rsidRPr="00037B63" w:rsidSect="0083458D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C78" w:rsidRDefault="00177C78" w:rsidP="006C30C9">
      <w:pPr>
        <w:spacing w:line="240" w:lineRule="auto"/>
      </w:pPr>
      <w:r>
        <w:separator/>
      </w:r>
    </w:p>
  </w:endnote>
  <w:endnote w:type="continuationSeparator" w:id="0">
    <w:p w:rsidR="00177C78" w:rsidRDefault="00177C78" w:rsidP="006C3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C78" w:rsidRDefault="00177C78" w:rsidP="006C30C9">
      <w:pPr>
        <w:spacing w:line="240" w:lineRule="auto"/>
      </w:pPr>
      <w:r>
        <w:separator/>
      </w:r>
    </w:p>
  </w:footnote>
  <w:footnote w:type="continuationSeparator" w:id="0">
    <w:p w:rsidR="00177C78" w:rsidRDefault="00177C78" w:rsidP="006C30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C67"/>
    <w:multiLevelType w:val="hybridMultilevel"/>
    <w:tmpl w:val="D698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669AA"/>
    <w:multiLevelType w:val="hybridMultilevel"/>
    <w:tmpl w:val="BC50C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B355AF"/>
    <w:multiLevelType w:val="multilevel"/>
    <w:tmpl w:val="CD888ED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0BB003CB"/>
    <w:multiLevelType w:val="multilevel"/>
    <w:tmpl w:val="DB061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2F811715"/>
    <w:multiLevelType w:val="hybridMultilevel"/>
    <w:tmpl w:val="5278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44584"/>
    <w:multiLevelType w:val="hybridMultilevel"/>
    <w:tmpl w:val="535A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47CC7"/>
    <w:multiLevelType w:val="hybridMultilevel"/>
    <w:tmpl w:val="4EFCA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145B54"/>
    <w:multiLevelType w:val="hybridMultilevel"/>
    <w:tmpl w:val="B41E7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900E73"/>
    <w:multiLevelType w:val="hybridMultilevel"/>
    <w:tmpl w:val="FCE0B488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D61CC5"/>
    <w:multiLevelType w:val="hybridMultilevel"/>
    <w:tmpl w:val="AF168698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DA0F1D"/>
    <w:multiLevelType w:val="multilevel"/>
    <w:tmpl w:val="D6A07AB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7DA73999"/>
    <w:multiLevelType w:val="multilevel"/>
    <w:tmpl w:val="D958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5"/>
  </w:num>
  <w:num w:numId="1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58D"/>
    <w:rsid w:val="00001621"/>
    <w:rsid w:val="00036F4C"/>
    <w:rsid w:val="0003736D"/>
    <w:rsid w:val="00037B63"/>
    <w:rsid w:val="000402C9"/>
    <w:rsid w:val="00073C79"/>
    <w:rsid w:val="00081BDB"/>
    <w:rsid w:val="000C7AF7"/>
    <w:rsid w:val="0011096E"/>
    <w:rsid w:val="00126619"/>
    <w:rsid w:val="00133851"/>
    <w:rsid w:val="00177C78"/>
    <w:rsid w:val="00181993"/>
    <w:rsid w:val="00186080"/>
    <w:rsid w:val="001A525E"/>
    <w:rsid w:val="001B6B9F"/>
    <w:rsid w:val="001C333B"/>
    <w:rsid w:val="001F03E4"/>
    <w:rsid w:val="00211D5D"/>
    <w:rsid w:val="002705F8"/>
    <w:rsid w:val="00286DCE"/>
    <w:rsid w:val="002A1A1F"/>
    <w:rsid w:val="002B2177"/>
    <w:rsid w:val="002F5A99"/>
    <w:rsid w:val="00307DC5"/>
    <w:rsid w:val="00313E27"/>
    <w:rsid w:val="00341039"/>
    <w:rsid w:val="003434D3"/>
    <w:rsid w:val="003720FA"/>
    <w:rsid w:val="003B157A"/>
    <w:rsid w:val="003C3996"/>
    <w:rsid w:val="003C3F6E"/>
    <w:rsid w:val="003D1374"/>
    <w:rsid w:val="003D210C"/>
    <w:rsid w:val="004311A1"/>
    <w:rsid w:val="00446FAE"/>
    <w:rsid w:val="00485BD8"/>
    <w:rsid w:val="004A2380"/>
    <w:rsid w:val="004A5F91"/>
    <w:rsid w:val="004A7150"/>
    <w:rsid w:val="004F6EED"/>
    <w:rsid w:val="0051183A"/>
    <w:rsid w:val="00557DA4"/>
    <w:rsid w:val="0058064C"/>
    <w:rsid w:val="00582CA6"/>
    <w:rsid w:val="005C4C50"/>
    <w:rsid w:val="005E050D"/>
    <w:rsid w:val="005E0D62"/>
    <w:rsid w:val="006020F7"/>
    <w:rsid w:val="0061244F"/>
    <w:rsid w:val="00625E0E"/>
    <w:rsid w:val="00627392"/>
    <w:rsid w:val="00627A6C"/>
    <w:rsid w:val="00637C47"/>
    <w:rsid w:val="00642E53"/>
    <w:rsid w:val="00642E83"/>
    <w:rsid w:val="00687BC0"/>
    <w:rsid w:val="00697BE3"/>
    <w:rsid w:val="006C30C9"/>
    <w:rsid w:val="006C7FDB"/>
    <w:rsid w:val="006F561B"/>
    <w:rsid w:val="007154E6"/>
    <w:rsid w:val="007369A2"/>
    <w:rsid w:val="00744B63"/>
    <w:rsid w:val="007534B0"/>
    <w:rsid w:val="007B1F32"/>
    <w:rsid w:val="007C27A5"/>
    <w:rsid w:val="00804EA7"/>
    <w:rsid w:val="008340F1"/>
    <w:rsid w:val="0083458D"/>
    <w:rsid w:val="00843463"/>
    <w:rsid w:val="008658F1"/>
    <w:rsid w:val="00876630"/>
    <w:rsid w:val="00895086"/>
    <w:rsid w:val="008A5AC5"/>
    <w:rsid w:val="008B77FA"/>
    <w:rsid w:val="008C7215"/>
    <w:rsid w:val="008E4FCA"/>
    <w:rsid w:val="00947101"/>
    <w:rsid w:val="009B1E58"/>
    <w:rsid w:val="009C1031"/>
    <w:rsid w:val="009C5E14"/>
    <w:rsid w:val="009D670D"/>
    <w:rsid w:val="009D6789"/>
    <w:rsid w:val="009D7073"/>
    <w:rsid w:val="009D71A4"/>
    <w:rsid w:val="009E2AAC"/>
    <w:rsid w:val="00A0287E"/>
    <w:rsid w:val="00A102FD"/>
    <w:rsid w:val="00A123ED"/>
    <w:rsid w:val="00A228FE"/>
    <w:rsid w:val="00A27E4D"/>
    <w:rsid w:val="00A40FE3"/>
    <w:rsid w:val="00A446D5"/>
    <w:rsid w:val="00A517E0"/>
    <w:rsid w:val="00A57F92"/>
    <w:rsid w:val="00A93174"/>
    <w:rsid w:val="00AD0859"/>
    <w:rsid w:val="00AD1AC5"/>
    <w:rsid w:val="00AD1D1F"/>
    <w:rsid w:val="00AD74EE"/>
    <w:rsid w:val="00AE1140"/>
    <w:rsid w:val="00B30BDE"/>
    <w:rsid w:val="00B449E7"/>
    <w:rsid w:val="00B70C16"/>
    <w:rsid w:val="00B75BEE"/>
    <w:rsid w:val="00BA19EC"/>
    <w:rsid w:val="00BA3A22"/>
    <w:rsid w:val="00BB55F4"/>
    <w:rsid w:val="00BB5ABF"/>
    <w:rsid w:val="00C12FEB"/>
    <w:rsid w:val="00C15374"/>
    <w:rsid w:val="00C31017"/>
    <w:rsid w:val="00C31F12"/>
    <w:rsid w:val="00C367FC"/>
    <w:rsid w:val="00C44351"/>
    <w:rsid w:val="00C4798F"/>
    <w:rsid w:val="00C6297D"/>
    <w:rsid w:val="00C8265B"/>
    <w:rsid w:val="00C86E34"/>
    <w:rsid w:val="00C91687"/>
    <w:rsid w:val="00CB1AA4"/>
    <w:rsid w:val="00CD113B"/>
    <w:rsid w:val="00CD4B16"/>
    <w:rsid w:val="00CE48F7"/>
    <w:rsid w:val="00CF3AB3"/>
    <w:rsid w:val="00CF41A3"/>
    <w:rsid w:val="00D04526"/>
    <w:rsid w:val="00D14BF1"/>
    <w:rsid w:val="00D32522"/>
    <w:rsid w:val="00D37F80"/>
    <w:rsid w:val="00D54132"/>
    <w:rsid w:val="00D5583B"/>
    <w:rsid w:val="00D73D61"/>
    <w:rsid w:val="00D845CF"/>
    <w:rsid w:val="00DC77EC"/>
    <w:rsid w:val="00DD1F1A"/>
    <w:rsid w:val="00DD649B"/>
    <w:rsid w:val="00DF7838"/>
    <w:rsid w:val="00E23090"/>
    <w:rsid w:val="00E2433C"/>
    <w:rsid w:val="00E31AAB"/>
    <w:rsid w:val="00E51433"/>
    <w:rsid w:val="00E60D68"/>
    <w:rsid w:val="00E67E68"/>
    <w:rsid w:val="00E823BC"/>
    <w:rsid w:val="00E8476E"/>
    <w:rsid w:val="00E93476"/>
    <w:rsid w:val="00E93E40"/>
    <w:rsid w:val="00E97224"/>
    <w:rsid w:val="00EC79E1"/>
    <w:rsid w:val="00ED53D4"/>
    <w:rsid w:val="00F113C8"/>
    <w:rsid w:val="00F153EB"/>
    <w:rsid w:val="00F236A5"/>
    <w:rsid w:val="00F42AAB"/>
    <w:rsid w:val="00F43D9D"/>
    <w:rsid w:val="00F53DD8"/>
    <w:rsid w:val="00F631FD"/>
    <w:rsid w:val="00F75BB8"/>
    <w:rsid w:val="00F85B04"/>
    <w:rsid w:val="00F94BC4"/>
    <w:rsid w:val="00FB169A"/>
    <w:rsid w:val="00FD138B"/>
    <w:rsid w:val="00FD5B21"/>
    <w:rsid w:val="00FD65AF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553F4"/>
  <w15:docId w15:val="{22156CAD-317A-455A-BB93-D0EDFA6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3458D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41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C41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C41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41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41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41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810C41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810C41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CD113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99"/>
    <w:qFormat/>
    <w:rsid w:val="00F85B04"/>
    <w:rPr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F85B04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99"/>
    <w:qFormat/>
    <w:rsid w:val="00F85B04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F85B04"/>
    <w:rPr>
      <w:rFonts w:ascii="Arial" w:eastAsia="Times New Roman" w:hAnsi="Arial" w:cs="Arial"/>
      <w:i/>
      <w:iCs/>
      <w:color w:val="404040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F85B04"/>
    <w:rPr>
      <w:b/>
      <w:bCs/>
    </w:rPr>
  </w:style>
  <w:style w:type="character" w:styleId="Uwydatnienie">
    <w:name w:val="Emphasis"/>
    <w:basedOn w:val="Domylnaczcionkaakapitu"/>
    <w:uiPriority w:val="99"/>
    <w:qFormat/>
    <w:rsid w:val="00F85B04"/>
    <w:rPr>
      <w:i/>
      <w:iCs/>
    </w:rPr>
  </w:style>
  <w:style w:type="paragraph" w:customStyle="1" w:styleId="TEKST">
    <w:name w:val="TEKST"/>
    <w:basedOn w:val="Normalny"/>
    <w:link w:val="TEKSTZnak"/>
    <w:qFormat/>
    <w:rsid w:val="00CE48F7"/>
    <w:pPr>
      <w:spacing w:line="360" w:lineRule="auto"/>
      <w:ind w:firstLine="720"/>
      <w:jc w:val="both"/>
    </w:pPr>
    <w:rPr>
      <w:rFonts w:ascii="Arial Narrow" w:hAnsi="Arial Narrow" w:cs="Arial Narrow"/>
      <w:color w:val="595959"/>
      <w:lang w:eastAsia="en-US"/>
    </w:rPr>
  </w:style>
  <w:style w:type="character" w:customStyle="1" w:styleId="TEKSTZnak">
    <w:name w:val="TEKST Znak"/>
    <w:basedOn w:val="Domylnaczcionkaakapitu"/>
    <w:link w:val="TEKST"/>
    <w:locked/>
    <w:rsid w:val="00CE48F7"/>
    <w:rPr>
      <w:rFonts w:ascii="Arial Narrow" w:eastAsia="Times New Roman" w:hAnsi="Arial Narrow" w:cs="Arial Narrow"/>
      <w:color w:val="595959"/>
      <w:sz w:val="22"/>
      <w:szCs w:val="22"/>
      <w:lang w:eastAsia="en-US"/>
    </w:rPr>
  </w:style>
  <w:style w:type="paragraph" w:customStyle="1" w:styleId="punktory">
    <w:name w:val="punktory"/>
    <w:basedOn w:val="Normalny"/>
    <w:link w:val="punktoryZnak"/>
    <w:qFormat/>
    <w:rsid w:val="00CE48F7"/>
    <w:pPr>
      <w:numPr>
        <w:numId w:val="8"/>
      </w:numPr>
      <w:tabs>
        <w:tab w:val="left" w:pos="709"/>
      </w:tabs>
      <w:spacing w:after="120" w:line="240" w:lineRule="auto"/>
      <w:ind w:left="709" w:hanging="357"/>
    </w:pPr>
    <w:rPr>
      <w:rFonts w:ascii="Arial Narrow" w:hAnsi="Arial Narrow" w:cs="Arial Narrow"/>
      <w:color w:val="595959"/>
      <w:lang w:eastAsia="en-US"/>
    </w:rPr>
  </w:style>
  <w:style w:type="character" w:customStyle="1" w:styleId="punktoryZnak">
    <w:name w:val="punktory Znak"/>
    <w:basedOn w:val="Domylnaczcionkaakapitu"/>
    <w:link w:val="punktory"/>
    <w:locked/>
    <w:rsid w:val="00CE48F7"/>
    <w:rPr>
      <w:rFonts w:ascii="Arial Narrow" w:eastAsia="Times New Roman" w:hAnsi="Arial Narrow" w:cs="Arial Narrow"/>
      <w:color w:val="595959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C30C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30C9"/>
    <w:rPr>
      <w:rFonts w:ascii="Arial" w:eastAsia="Times New Roman" w:hAnsi="Arial" w:cs="Arial"/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6C30C9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AD1AC5"/>
  </w:style>
  <w:style w:type="character" w:customStyle="1" w:styleId="label">
    <w:name w:val="label"/>
    <w:basedOn w:val="Domylnaczcionkaakapitu"/>
    <w:uiPriority w:val="99"/>
    <w:rsid w:val="00627392"/>
  </w:style>
  <w:style w:type="character" w:customStyle="1" w:styleId="price">
    <w:name w:val="price"/>
    <w:basedOn w:val="Domylnaczcionkaakapitu"/>
    <w:uiPriority w:val="99"/>
    <w:rsid w:val="00627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809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815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17834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820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17827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830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6</Pages>
  <Words>1907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50</cp:revision>
  <dcterms:created xsi:type="dcterms:W3CDTF">2012-09-13T09:22:00Z</dcterms:created>
  <dcterms:modified xsi:type="dcterms:W3CDTF">2017-09-15T13:04:00Z</dcterms:modified>
</cp:coreProperties>
</file>