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68364034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779689"/>
        <w:docPartObj>
          <w:docPartGallery w:val="Table of Contents"/>
          <w:docPartUnique/>
        </w:docPartObj>
      </w:sdtPr>
      <w:sdtEndPr/>
      <w:sdtContent>
        <w:p w:rsidR="00B8783C" w:rsidRPr="00B8783C" w:rsidRDefault="00B8783C" w:rsidP="00B8783C">
          <w:pPr>
            <w:pStyle w:val="Nagwekspisutreci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Spis treści -</w:t>
          </w:r>
          <w:r w:rsidR="00D84278">
            <w:rPr>
              <w:rFonts w:ascii="Times New Roman" w:hAnsi="Times New Roman" w:cs="Times New Roman"/>
              <w:color w:val="auto"/>
            </w:rPr>
            <w:t xml:space="preserve"> Załącznik nr 1</w:t>
          </w:r>
        </w:p>
        <w:p w:rsidR="00F121D5" w:rsidRPr="00D84278" w:rsidRDefault="0056708E" w:rsidP="00D84278">
          <w:pPr>
            <w:pStyle w:val="Spistreci1"/>
            <w:rPr>
              <w:rFonts w:eastAsiaTheme="minorEastAsia"/>
              <w:lang w:eastAsia="pl-PL"/>
            </w:rPr>
          </w:pPr>
          <w:r w:rsidRPr="00EC1E37">
            <w:fldChar w:fldCharType="begin"/>
          </w:r>
          <w:r w:rsidRPr="00EC1E37">
            <w:instrText xml:space="preserve"> TOC \o "1-3" \h \z \u </w:instrText>
          </w:r>
          <w:r w:rsidRPr="00EC1E37">
            <w:fldChar w:fldCharType="separate"/>
          </w:r>
          <w:hyperlink w:anchor="_Toc468705480" w:history="1">
            <w:r w:rsidR="00F121D5" w:rsidRPr="00D84278">
              <w:rPr>
                <w:rStyle w:val="Hipercze"/>
                <w:rFonts w:ascii="Times New Roman" w:hAnsi="Times New Roman"/>
                <w:sz w:val="20"/>
              </w:rPr>
              <w:t>WYKAZ POJĘĆ I SKRÓTÓW UŻYTYCH W OPRACOWANIU</w:t>
            </w:r>
            <w:r w:rsidR="00F121D5" w:rsidRPr="00D84278">
              <w:rPr>
                <w:webHidden/>
              </w:rPr>
              <w:tab/>
            </w:r>
            <w:r w:rsidR="00F121D5" w:rsidRPr="00D84278">
              <w:rPr>
                <w:webHidden/>
              </w:rPr>
              <w:fldChar w:fldCharType="begin"/>
            </w:r>
            <w:r w:rsidR="00F121D5" w:rsidRPr="00D84278">
              <w:rPr>
                <w:webHidden/>
              </w:rPr>
              <w:instrText xml:space="preserve"> PAGEREF _Toc468705480 \h </w:instrText>
            </w:r>
            <w:r w:rsidR="00F121D5" w:rsidRPr="00D84278">
              <w:rPr>
                <w:webHidden/>
              </w:rPr>
            </w:r>
            <w:r w:rsidR="00F121D5" w:rsidRPr="00D84278">
              <w:rPr>
                <w:webHidden/>
              </w:rPr>
              <w:fldChar w:fldCharType="separate"/>
            </w:r>
            <w:r w:rsidR="00F121D5" w:rsidRPr="00D84278">
              <w:rPr>
                <w:webHidden/>
              </w:rPr>
              <w:t>1</w:t>
            </w:r>
            <w:r w:rsidR="00F121D5" w:rsidRPr="00D84278">
              <w:rPr>
                <w:webHidden/>
              </w:rPr>
              <w:fldChar w:fldCharType="end"/>
            </w:r>
          </w:hyperlink>
        </w:p>
        <w:p w:rsidR="00F121D5" w:rsidRPr="00EC1E37" w:rsidRDefault="00E42DD3" w:rsidP="00D84278">
          <w:pPr>
            <w:pStyle w:val="Spistreci1"/>
            <w:rPr>
              <w:rFonts w:eastAsiaTheme="minorEastAsia"/>
              <w:lang w:eastAsia="pl-PL"/>
            </w:rPr>
          </w:pPr>
          <w:hyperlink w:anchor="_Toc468705481" w:history="1">
            <w:r w:rsidR="00B8783C">
              <w:rPr>
                <w:rStyle w:val="Hipercze"/>
                <w:rFonts w:ascii="Times New Roman" w:hAnsi="Times New Roman"/>
              </w:rPr>
              <w:t>WYBRANE SKRÓTY</w:t>
            </w:r>
            <w:r w:rsidR="00F121D5" w:rsidRPr="00EC1E37">
              <w:rPr>
                <w:webHidden/>
              </w:rPr>
              <w:tab/>
            </w:r>
            <w:r w:rsidR="00F121D5" w:rsidRPr="00EC1E37">
              <w:rPr>
                <w:webHidden/>
              </w:rPr>
              <w:fldChar w:fldCharType="begin"/>
            </w:r>
            <w:r w:rsidR="00F121D5" w:rsidRPr="00EC1E37">
              <w:rPr>
                <w:webHidden/>
              </w:rPr>
              <w:instrText xml:space="preserve"> PAGEREF _Toc468705481 \h </w:instrText>
            </w:r>
            <w:r w:rsidR="00F121D5" w:rsidRPr="00EC1E37">
              <w:rPr>
                <w:webHidden/>
              </w:rPr>
            </w:r>
            <w:r w:rsidR="00F121D5" w:rsidRPr="00EC1E37">
              <w:rPr>
                <w:webHidden/>
              </w:rPr>
              <w:fldChar w:fldCharType="separate"/>
            </w:r>
            <w:r w:rsidR="00F121D5" w:rsidRPr="00EC1E37">
              <w:rPr>
                <w:webHidden/>
              </w:rPr>
              <w:t>6</w:t>
            </w:r>
            <w:r w:rsidR="00F121D5" w:rsidRPr="00EC1E37">
              <w:rPr>
                <w:webHidden/>
              </w:rPr>
              <w:fldChar w:fldCharType="end"/>
            </w:r>
          </w:hyperlink>
        </w:p>
        <w:p w:rsidR="00B8783C" w:rsidRPr="00EC1E37" w:rsidRDefault="00E42DD3" w:rsidP="00B8783C">
          <w:pPr>
            <w:pStyle w:val="Spistreci1"/>
            <w:rPr>
              <w:rFonts w:eastAsiaTheme="minorEastAsia"/>
              <w:lang w:eastAsia="pl-PL"/>
            </w:rPr>
          </w:pPr>
          <w:hyperlink w:anchor="_Toc468705481" w:history="1">
            <w:r w:rsidR="00B8783C" w:rsidRPr="00EC1E37">
              <w:rPr>
                <w:rStyle w:val="Hipercze"/>
                <w:rFonts w:ascii="Times New Roman" w:hAnsi="Times New Roman"/>
              </w:rPr>
              <w:t>PODSTAWY PRAWNE</w:t>
            </w:r>
            <w:r w:rsidR="00B8783C" w:rsidRPr="00EC1E37">
              <w:rPr>
                <w:webHidden/>
              </w:rPr>
              <w:tab/>
            </w:r>
            <w:r w:rsidR="00B8783C" w:rsidRPr="00EC1E37">
              <w:rPr>
                <w:webHidden/>
              </w:rPr>
              <w:fldChar w:fldCharType="begin"/>
            </w:r>
            <w:r w:rsidR="00B8783C" w:rsidRPr="00EC1E37">
              <w:rPr>
                <w:webHidden/>
              </w:rPr>
              <w:instrText xml:space="preserve"> PAGEREF _Toc468705481 \h </w:instrText>
            </w:r>
            <w:r w:rsidR="00B8783C" w:rsidRPr="00EC1E37">
              <w:rPr>
                <w:webHidden/>
              </w:rPr>
            </w:r>
            <w:r w:rsidR="00B8783C" w:rsidRPr="00EC1E37">
              <w:rPr>
                <w:webHidden/>
              </w:rPr>
              <w:fldChar w:fldCharType="separate"/>
            </w:r>
            <w:r w:rsidR="00B8783C" w:rsidRPr="00EC1E37">
              <w:rPr>
                <w:webHidden/>
              </w:rPr>
              <w:t>6</w:t>
            </w:r>
            <w:r w:rsidR="00B8783C" w:rsidRPr="00EC1E37">
              <w:rPr>
                <w:webHidden/>
              </w:rPr>
              <w:fldChar w:fldCharType="end"/>
            </w:r>
          </w:hyperlink>
        </w:p>
        <w:p w:rsidR="00F121D5" w:rsidRPr="00EC1E37" w:rsidRDefault="00E42DD3" w:rsidP="00D84278">
          <w:pPr>
            <w:pStyle w:val="Spistreci1"/>
            <w:rPr>
              <w:rFonts w:eastAsiaTheme="minorEastAsia"/>
              <w:lang w:eastAsia="pl-PL"/>
            </w:rPr>
          </w:pPr>
          <w:hyperlink w:anchor="_Toc468705482" w:history="1">
            <w:r w:rsidR="00F121D5" w:rsidRPr="00EC1E37">
              <w:rPr>
                <w:rStyle w:val="Hipercze"/>
                <w:rFonts w:ascii="Times New Roman" w:hAnsi="Times New Roman"/>
              </w:rPr>
              <w:t>WYKAZ MATERIAŁÓW DOKUMENTÓW I PUBLIKACJI WYKORZYSTANYCH I PODDANYCH ANALIZIE PRZY OPRACOWANIU PROGRAMU</w:t>
            </w:r>
            <w:r w:rsidR="00F121D5" w:rsidRPr="00EC1E37">
              <w:rPr>
                <w:webHidden/>
              </w:rPr>
              <w:tab/>
            </w:r>
            <w:r w:rsidR="00F121D5" w:rsidRPr="00EC1E37">
              <w:rPr>
                <w:webHidden/>
              </w:rPr>
              <w:fldChar w:fldCharType="begin"/>
            </w:r>
            <w:r w:rsidR="00F121D5" w:rsidRPr="00EC1E37">
              <w:rPr>
                <w:webHidden/>
              </w:rPr>
              <w:instrText xml:space="preserve"> PAGEREF _Toc468705482 \h </w:instrText>
            </w:r>
            <w:r w:rsidR="00F121D5" w:rsidRPr="00EC1E37">
              <w:rPr>
                <w:webHidden/>
              </w:rPr>
            </w:r>
            <w:r w:rsidR="00F121D5" w:rsidRPr="00EC1E37">
              <w:rPr>
                <w:webHidden/>
              </w:rPr>
              <w:fldChar w:fldCharType="separate"/>
            </w:r>
            <w:r w:rsidR="00F121D5" w:rsidRPr="00EC1E37">
              <w:rPr>
                <w:webHidden/>
              </w:rPr>
              <w:t>10</w:t>
            </w:r>
            <w:r w:rsidR="00F121D5" w:rsidRPr="00EC1E37">
              <w:rPr>
                <w:webHidden/>
              </w:rPr>
              <w:fldChar w:fldCharType="end"/>
            </w:r>
          </w:hyperlink>
        </w:p>
        <w:p w:rsidR="0056708E" w:rsidRPr="00810429" w:rsidRDefault="0056708E" w:rsidP="00810429">
          <w:r w:rsidRPr="00EC1E37">
            <w:rPr>
              <w:rFonts w:ascii="Times New Roman" w:hAnsi="Times New Roman" w:cs="Times New Roman"/>
            </w:rPr>
            <w:fldChar w:fldCharType="end"/>
          </w:r>
        </w:p>
      </w:sdtContent>
    </w:sdt>
    <w:p w:rsidR="00D77FBD" w:rsidRPr="00D84278" w:rsidRDefault="00D77FBD" w:rsidP="00F121D5">
      <w:pPr>
        <w:pStyle w:val="K-Pnagspis"/>
        <w:rPr>
          <w:color w:val="auto"/>
          <w:sz w:val="20"/>
          <w:szCs w:val="20"/>
        </w:rPr>
      </w:pPr>
      <w:bookmarkStart w:id="1" w:name="_Toc468705480"/>
      <w:r w:rsidRPr="00D84278">
        <w:rPr>
          <w:color w:val="auto"/>
          <w:sz w:val="20"/>
          <w:szCs w:val="20"/>
        </w:rPr>
        <w:t>W</w:t>
      </w:r>
      <w:bookmarkStart w:id="2" w:name="_Toc234613356"/>
      <w:bookmarkStart w:id="3" w:name="_Toc235474649"/>
      <w:bookmarkStart w:id="4" w:name="_Toc237092395"/>
      <w:bookmarkEnd w:id="0"/>
      <w:r w:rsidRPr="00D84278">
        <w:rPr>
          <w:color w:val="auto"/>
          <w:sz w:val="20"/>
          <w:szCs w:val="20"/>
        </w:rPr>
        <w:t>YKAZ POJĘĆ I SKRÓTÓW UŻYTYCH W OPRACOWANIU</w:t>
      </w:r>
      <w:bookmarkEnd w:id="1"/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benzo(a)piren - B(a)P - </w:t>
      </w:r>
      <w:r w:rsidRPr="00E707E7">
        <w:rPr>
          <w:sz w:val="22"/>
          <w:szCs w:val="22"/>
        </w:rPr>
        <w:t xml:space="preserve">jest przedstawicielem wielopierścieniowych węglowodorów aromatycznych (WWA). Benzo(a)piren wykazuje małą toksyczność ostrą, zaś dużą toksyczność przewlekłą, co związane jest z jego zdolnością kumulacji w organizmie. Jak inne WWA, jest kancerogenem chemicznym, a mechanizm jego działania jest genotoksyczny, co oznacza,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że reaguje z DNA, przy czym działa po aktywacji metabolicznej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biomasa - </w:t>
      </w:r>
      <w:r w:rsidRPr="00E707E7">
        <w:rPr>
          <w:sz w:val="22"/>
          <w:szCs w:val="22"/>
        </w:rPr>
        <w:t xml:space="preserve">jest to masa materii zawarta w organizmach, w której zawarta jest energia, którą można wykorzystać np. poprzez spalanie uzyskuje się ciepło. Do celów energetycznych wykorzystuje się najczęściej: drewno, odchody zwierząt, osady ściekowe, słomę, makuchy, odpady produkcji rolniczej, wodorosty uprawiane w celach energetycznych, odpady organiczne, oleje roślinne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i tłuszcze zwierzęce. W Polsce na potrzeby produkcji biomasy do celów energetycznych uprawia się rośliny szybko rosnące: wierzba wiciowa (energetyczna), ślazowiec pensylwański, topinambur, róża wielokwiatowa, rdest sachaliński oraz trawy wieloletnie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CAFE</w:t>
      </w:r>
      <w:r w:rsidRPr="00E707E7">
        <w:rPr>
          <w:sz w:val="22"/>
          <w:szCs w:val="22"/>
        </w:rPr>
        <w:t xml:space="preserve"> - Clean Air for Europe – program wprowadzony dyrektywą Parlamentu Europejskiego i Rady 2008/50/WE z dnia 21 maja 2008 r. w sprawie jakości powietrza i czystszego powietrza dla Europy (w skrócie określanej mianem dyrektywy CAFE, od nazwy programu CAFE)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CORINAIR - </w:t>
      </w:r>
      <w:r w:rsidRPr="00E707E7">
        <w:rPr>
          <w:sz w:val="22"/>
          <w:szCs w:val="22"/>
        </w:rPr>
        <w:t xml:space="preserve">CORe INventory of AIR emissions - jeden z programów realizowanych od 1995 r. przez Europejską Agencję Ochrony Środowiska, obejmujący inwentaryzację </w:t>
      </w:r>
      <w:hyperlink r:id="rId8" w:tooltip="Emisja zanieczyszczeń" w:history="1"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emisji</w:t>
        </w:r>
        <w:r w:rsidRPr="00E707E7">
          <w:rPr>
            <w:rStyle w:val="Hipercze"/>
            <w:rFonts w:ascii="Times New Roman" w:hAnsi="Times New Roman"/>
            <w:sz w:val="22"/>
            <w:szCs w:val="22"/>
          </w:rPr>
          <w:br/>
        </w:r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zanieczyszczeń</w:t>
        </w:r>
      </w:hyperlink>
      <w:r w:rsidRPr="00E707E7">
        <w:rPr>
          <w:sz w:val="22"/>
          <w:szCs w:val="22"/>
        </w:rPr>
        <w:t xml:space="preserve"> do </w:t>
      </w:r>
      <w:hyperlink r:id="rId9" w:tooltip="Atmosfera" w:history="1"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atmosfery</w:t>
        </w:r>
      </w:hyperlink>
      <w:r w:rsidRPr="00E707E7">
        <w:rPr>
          <w:sz w:val="22"/>
          <w:szCs w:val="22"/>
        </w:rPr>
        <w:t>. Baza CORINAIR ma za zadanie zbierać, aktualizować, zarządzać</w:t>
      </w:r>
      <w:r w:rsidRPr="00E707E7">
        <w:rPr>
          <w:sz w:val="22"/>
          <w:szCs w:val="22"/>
        </w:rPr>
        <w:br/>
        <w:t>i publikować informacje o emisji zanieczyszczeń do powietrza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CZK</w:t>
      </w:r>
      <w:r w:rsidRPr="00E707E7">
        <w:rPr>
          <w:sz w:val="22"/>
          <w:szCs w:val="22"/>
        </w:rPr>
        <w:t xml:space="preserve"> - Centra Zarządzania Kryzysowego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EMEP </w:t>
      </w:r>
      <w:r w:rsidRPr="00E707E7">
        <w:rPr>
          <w:sz w:val="22"/>
          <w:szCs w:val="22"/>
        </w:rPr>
        <w:t xml:space="preserve">- European Monitoring Environmental Program - opracowany przez Europejską Komisję Gospodarczą </w:t>
      </w:r>
      <w:r w:rsidRPr="00E707E7">
        <w:rPr>
          <w:bCs/>
          <w:sz w:val="22"/>
          <w:szCs w:val="22"/>
        </w:rPr>
        <w:t>ONZ</w:t>
      </w:r>
      <w:r w:rsidRPr="00E707E7">
        <w:rPr>
          <w:sz w:val="22"/>
          <w:szCs w:val="22"/>
        </w:rPr>
        <w:t xml:space="preserve"> przy współpracy Światowej Organizacji Meteorologicznej (WMO) program monitoringu, mający na celu uzyskanie informacji o udziale poszczególnych państw w zanieczyszczaniu środowiska innych państw, m.in. w celu kontroli wypełniania międzynarodowych ustaleń i porozumień w sprawie strategii zmniejszania zanieczyszczeń na obszarze Europy. EMEP posiada 70 pomiarowych stacji lądowych na terenie 21 krajów Europy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emisja</w:t>
      </w:r>
      <w:r w:rsidRPr="00E707E7">
        <w:rPr>
          <w:sz w:val="22"/>
          <w:szCs w:val="22"/>
        </w:rPr>
        <w:t xml:space="preserve"> substancji do powietrza - wprowadzane w sposób zorganizowany (poprzez emitory) lub niezorganizowany (z dróg, z hałd, składowisk, w wyniku pożarów lasów) substancje gazowe lub pyłowe do powietrza na skutek działalności człowieka lub ze źródeł naturalnych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lastRenderedPageBreak/>
        <w:t>emisja dopuszczalna do powietrza</w:t>
      </w:r>
      <w:r w:rsidRPr="00E707E7">
        <w:rPr>
          <w:sz w:val="22"/>
          <w:szCs w:val="22"/>
        </w:rPr>
        <w:t xml:space="preserve"> - dopuszczalne do wprowadzania do powietrza rodzaje i ilości</w:t>
      </w:r>
      <w:r w:rsidRPr="00E707E7">
        <w:rPr>
          <w:sz w:val="22"/>
          <w:szCs w:val="22"/>
        </w:rPr>
        <w:br/>
        <w:t>substancji zanieczyszczających. Dopuszczalną emisję ustala się (poza określonymi w przepisach wyjątkami) dla każdego urządzenia, w którym zachodzą procesy technologiczne lub są prowadzone operacje techniczne powodujące powstawanie substancji zanieczyszczających (źródła substancji zanieczyszczających), emitora punktowego oraz instalacji każdej jednostki organizacyjnej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emisja wtórna</w:t>
      </w:r>
      <w:r w:rsidRPr="00E707E7">
        <w:rPr>
          <w:sz w:val="22"/>
          <w:szCs w:val="22"/>
        </w:rPr>
        <w:t xml:space="preserve"> - zanieczyszczenia pyłowe powstające w wyniku reakcji i procesów zachodzących podczas transportu na duże odległości gazów (SO</w:t>
      </w:r>
      <w:r w:rsidRPr="00E707E7">
        <w:rPr>
          <w:sz w:val="22"/>
          <w:szCs w:val="22"/>
          <w:vertAlign w:val="subscript"/>
        </w:rPr>
        <w:t>2</w:t>
      </w:r>
      <w:r w:rsidRPr="00E707E7">
        <w:rPr>
          <w:sz w:val="22"/>
          <w:szCs w:val="22"/>
        </w:rPr>
        <w:t>, NO</w:t>
      </w:r>
      <w:r w:rsidRPr="00E707E7">
        <w:rPr>
          <w:sz w:val="22"/>
          <w:szCs w:val="22"/>
          <w:vertAlign w:val="subscript"/>
        </w:rPr>
        <w:t>x</w:t>
      </w:r>
      <w:r w:rsidRPr="00E707E7">
        <w:rPr>
          <w:sz w:val="22"/>
          <w:szCs w:val="22"/>
        </w:rPr>
        <w:t>, NH</w:t>
      </w:r>
      <w:r w:rsidRPr="00E707E7">
        <w:rPr>
          <w:sz w:val="22"/>
          <w:szCs w:val="22"/>
          <w:vertAlign w:val="subscript"/>
        </w:rPr>
        <w:t>3</w:t>
      </w:r>
      <w:r w:rsidRPr="00E707E7">
        <w:rPr>
          <w:sz w:val="22"/>
          <w:szCs w:val="22"/>
        </w:rPr>
        <w:t xml:space="preserve"> oraz lotnych związków organicznych) oraz reemisja tj. unoszenie pyłu z podłoża (szczególnie na terenie miast)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</w:t>
      </w:r>
      <w:r w:rsidRPr="00E707E7">
        <w:rPr>
          <w:sz w:val="22"/>
          <w:szCs w:val="22"/>
        </w:rPr>
        <w:t xml:space="preserve"> - miejsce wprowadzania zanieczyszczeń do powietrza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punktowy</w:t>
      </w:r>
      <w:r w:rsidRPr="00E707E7">
        <w:rPr>
          <w:sz w:val="22"/>
          <w:szCs w:val="22"/>
        </w:rPr>
        <w:t xml:space="preserve"> - miejsce wprowadzania zanieczyszczeń do powietrza w sposób zorganizowany, potocznie komin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liniowy</w:t>
      </w:r>
      <w:r w:rsidRPr="00E707E7">
        <w:rPr>
          <w:sz w:val="22"/>
          <w:szCs w:val="22"/>
        </w:rPr>
        <w:t xml:space="preserve"> – przyjęty do obliczeń zastępczy emitor dla źródeł liniowych 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powierzchniowy</w:t>
      </w:r>
      <w:r w:rsidRPr="00E707E7">
        <w:rPr>
          <w:sz w:val="22"/>
          <w:szCs w:val="22"/>
        </w:rPr>
        <w:t xml:space="preserve"> - przyjęty do obliczeń zastępczy emitor dla źródeł powierzchniowych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GDDKiA</w:t>
      </w:r>
      <w:r w:rsidRPr="00E707E7">
        <w:rPr>
          <w:sz w:val="22"/>
          <w:szCs w:val="22"/>
        </w:rPr>
        <w:t xml:space="preserve"> – Generalna Dyrekcja Dróg Krajowych i Autostrad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imisja substancji</w:t>
      </w:r>
      <w:r w:rsidRPr="00E707E7">
        <w:rPr>
          <w:sz w:val="22"/>
          <w:szCs w:val="22"/>
        </w:rPr>
        <w:t xml:space="preserve"> – ilość zanieczyszczeń pyłowych lub gazowych odbierana przez środowisko; jest miarą stopnia jego zanieczyszczenia definiowaną, jako </w:t>
      </w:r>
      <w:r w:rsidRPr="00E707E7">
        <w:rPr>
          <w:bCs/>
          <w:sz w:val="22"/>
          <w:szCs w:val="22"/>
        </w:rPr>
        <w:t>stężenie</w:t>
      </w:r>
      <w:r w:rsidRPr="00E707E7">
        <w:rPr>
          <w:b/>
          <w:bCs/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>zanieczyszczeń w powietrzu</w:t>
      </w:r>
      <w:r w:rsidRPr="00E707E7">
        <w:rPr>
          <w:sz w:val="22"/>
          <w:szCs w:val="22"/>
        </w:rPr>
        <w:t xml:space="preserve"> (wyrażane w jednostkach masy danego zanieczyszczenia, na jednostkę objętości powietrza lub w ppm, ppb) oraz jako </w:t>
      </w:r>
      <w:r w:rsidRPr="00E707E7">
        <w:rPr>
          <w:bCs/>
          <w:sz w:val="22"/>
          <w:szCs w:val="22"/>
        </w:rPr>
        <w:t>depozycja zanieczyszczeń</w:t>
      </w:r>
      <w:r w:rsidRPr="00E707E7">
        <w:rPr>
          <w:sz w:val="22"/>
          <w:szCs w:val="22"/>
        </w:rPr>
        <w:t xml:space="preserve"> — ilość danego zanieczyszczenia osiadającego na powierzchni ziemi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Kataster Emisji</w:t>
      </w:r>
      <w:r w:rsidRPr="00E707E7">
        <w:rPr>
          <w:sz w:val="22"/>
          <w:szCs w:val="22"/>
        </w:rPr>
        <w:t xml:space="preserve"> – baza danych, stanowiąca element Systemu Zarządzania Informacjami Środowiskowymi SOZAT, zawierająca informacje o emisji punktowej, powierzchniowej i liniowej na obszarze danej strefy. Umożliwia elektroniczne gromadzenie i analizę informacji o źródłach emisji punktowej, liniowej i powierzchniowej dla strefy, dla której został opracowany Program ochrony powietrza (z możliwością rozbudowy w przyszłości o kolejne strefy)</w:t>
      </w:r>
      <w:r w:rsidRPr="00E707E7">
        <w:rPr>
          <w:i/>
          <w:sz w:val="22"/>
          <w:szCs w:val="22"/>
        </w:rPr>
        <w:t xml:space="preserve">. </w:t>
      </w:r>
      <w:r w:rsidRPr="00E707E7">
        <w:rPr>
          <w:sz w:val="22"/>
          <w:szCs w:val="22"/>
        </w:rPr>
        <w:t>Baza emisji</w:t>
      </w:r>
      <w:r w:rsidRPr="00E707E7">
        <w:rPr>
          <w:i/>
          <w:sz w:val="22"/>
          <w:szCs w:val="22"/>
        </w:rPr>
        <w:t xml:space="preserve"> </w:t>
      </w:r>
      <w:r w:rsidRPr="00E707E7">
        <w:rPr>
          <w:sz w:val="22"/>
          <w:szCs w:val="22"/>
        </w:rPr>
        <w:t xml:space="preserve">pozwala na wizualizację wielkości emisji dla każdej ze stref 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biomasę zasilane automatycznie</w:t>
      </w:r>
      <w:r w:rsidRPr="00E707E7">
        <w:rPr>
          <w:sz w:val="22"/>
          <w:szCs w:val="22"/>
        </w:rPr>
        <w:t xml:space="preserve"> – kotły przeznaczone do spalania biomasy z automatycznie sterowanym załadunkiem paliwa oraz regulowaną ilością powietrza wprowadzanego do komory spalania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biomasę zasilane ręcznie</w:t>
      </w:r>
      <w:r w:rsidRPr="00E707E7">
        <w:rPr>
          <w:sz w:val="22"/>
          <w:szCs w:val="22"/>
        </w:rPr>
        <w:t xml:space="preserve"> – kotły przeznaczone do spalania biomasy wyposażone w ruszt stały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pelet zasilane automatycznie</w:t>
      </w:r>
      <w:r w:rsidRPr="00E707E7">
        <w:rPr>
          <w:sz w:val="22"/>
          <w:szCs w:val="22"/>
        </w:rPr>
        <w:t xml:space="preserve"> – kotły przeznaczone do spalania biomasy z automatycznie sterowanym załadunkiem paliwa oraz regulowaną ilością powietrza wprowadzanego do komory spalania, w których stosowane są pelety. Zostały wydzielone z powodu różnic w wielkości emisji zanieczyszczeń do powietrza wynikających ze stosowania biomasy i peletu. W kotłach tych pelet podawany jest ze zbiornika w sposób automatyczny, przy pomocy podajnika, który wyposażony jest palnik. Popiół powstały po spaleniu peletu (zawartość popiołu w pelecie ok. 1%) należy usunąć ręcznie. Czynność tę wykonujemy dwa razy w miesiącu. Popiół można kompostować i używać jako nawóz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węglowe zasilane automatycznie</w:t>
      </w:r>
      <w:r w:rsidRPr="00E707E7">
        <w:rPr>
          <w:sz w:val="22"/>
          <w:szCs w:val="22"/>
        </w:rPr>
        <w:t xml:space="preserve"> – nowoczesne kotły przeznaczone do spalania paliwa stałego wyposażone w palnik z automatycznie sterowanym załadunkiem paliwa oraz regulowaną </w:t>
      </w:r>
      <w:r w:rsidRPr="00E707E7">
        <w:rPr>
          <w:sz w:val="22"/>
          <w:szCs w:val="22"/>
        </w:rPr>
        <w:lastRenderedPageBreak/>
        <w:t>ilością powietrza wprowadzanego do komory spalania (np. retortowy). Paliwo spalane jest w małym palniku, zasilanym niewielkimi porcjami paliwa, podawanymi z częstotliwością od kilku do kilkudziesięciu sekund, co sprzyja maksymalnemu wykorzystaniu zalet nowoczesnej techniki spalania. Konwencjonalne palniki retortowe wymagają węgla o uziarnieniu 8-25 mm – asortyment groszek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węglowe zasilane ręcznie</w:t>
      </w:r>
      <w:r w:rsidRPr="00E707E7">
        <w:rPr>
          <w:sz w:val="22"/>
          <w:szCs w:val="22"/>
        </w:rPr>
        <w:t xml:space="preserve"> – nowoczesne kotły na paliwo stałe, wyposażone w ruszt stały, realizujące technikę dolnego i górnego spalania w części złoża, często wyposażone w efektywne systemy dystrybucji powietrza pierwotnego i wtórnego, często z regulacją pracy wentylatora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za pomocą elektronicznych sterowników, które powodują lepsze dopalanie lotnych produktów rozkładu paliwa stałego. Osiągają sprawność energetyczną rzędu 80-90%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mikrogram </w:t>
      </w:r>
      <w:r w:rsidRPr="00E707E7">
        <w:rPr>
          <w:sz w:val="22"/>
          <w:szCs w:val="22"/>
        </w:rPr>
        <w:t xml:space="preserve">– pochodna jednostka masy w układzie SI, symbol µg, równa 0,000001 </w:t>
      </w:r>
      <w:hyperlink r:id="rId10" w:tooltip="G" w:history="1">
        <w:r w:rsidRPr="00E707E7">
          <w:rPr>
            <w:sz w:val="22"/>
            <w:szCs w:val="22"/>
          </w:rPr>
          <w:t>g</w:t>
        </w:r>
      </w:hyperlink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NFOŚiGW</w:t>
      </w:r>
      <w:r w:rsidRPr="00E707E7">
        <w:rPr>
          <w:sz w:val="22"/>
          <w:szCs w:val="22"/>
        </w:rPr>
        <w:t xml:space="preserve"> – Narodowy Fundusz Ochrony Środowiska i Gospodarki Wodnej; </w:t>
      </w:r>
      <w:bookmarkStart w:id="5" w:name="OLE_LINK1"/>
      <w:r w:rsidRPr="00E707E7">
        <w:rPr>
          <w:sz w:val="22"/>
          <w:szCs w:val="22"/>
        </w:rPr>
        <w:t>od 1.01.2015 r. -</w:t>
      </w:r>
      <w:r w:rsidRPr="00E707E7">
        <w:rPr>
          <w:b/>
          <w:bCs/>
          <w:color w:val="292929"/>
          <w:sz w:val="22"/>
          <w:szCs w:val="22"/>
        </w:rPr>
        <w:t xml:space="preserve"> </w:t>
      </w:r>
      <w:r w:rsidRPr="00E707E7">
        <w:rPr>
          <w:sz w:val="22"/>
          <w:szCs w:val="22"/>
        </w:rPr>
        <w:t>państwowa osoba prawna w rozumieniu art. 9 pkt. 14 Ustawy z dnia 27 sierpnia 2009 r. o finansach publicznych (Dz. U.</w:t>
      </w:r>
      <w:r w:rsidR="00430C44">
        <w:rPr>
          <w:sz w:val="22"/>
          <w:szCs w:val="22"/>
        </w:rPr>
        <w:t xml:space="preserve"> z 2009 r.</w:t>
      </w:r>
      <w:r w:rsidRPr="00E707E7">
        <w:rPr>
          <w:sz w:val="22"/>
          <w:szCs w:val="22"/>
        </w:rPr>
        <w:t xml:space="preserve"> Nr 157, poz. 1240</w:t>
      </w:r>
      <w:r w:rsidR="00430C44">
        <w:rPr>
          <w:sz w:val="22"/>
          <w:szCs w:val="22"/>
        </w:rPr>
        <w:t xml:space="preserve"> ze zm.</w:t>
      </w:r>
      <w:r w:rsidRPr="00E707E7">
        <w:rPr>
          <w:sz w:val="22"/>
          <w:szCs w:val="22"/>
        </w:rPr>
        <w:t>)</w:t>
      </w:r>
      <w:bookmarkEnd w:id="5"/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„niska emisja”</w:t>
      </w:r>
      <w:r w:rsidRPr="00E707E7">
        <w:rPr>
          <w:sz w:val="22"/>
          <w:szCs w:val="22"/>
        </w:rPr>
        <w:t xml:space="preserve"> - jest to emisja pyłów i szkodliwych gazów pochodząca z domowych pieców grzewczych i lokalnych kotłowni węglowych, w których spalanie węgla odbywa się w nieefektywny sposób. Cechą charakterystyczną niskiej emisji jest to, że powodowana jest przez liczne źródła wprowadzające do powietrza niewielkie ilości zanieczyszczeń. Duża ilość kominów o niewielkiej wysokości powoduje, że wprowadzanie zanieczyszczenia do środowiska jest bardzo uciążliwe, gdyż zanieczyszczenia gromadzą się wokół miejsca powstawania, a są to najczęściej obszary o zwartej zabudowie mieszkaniowej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NMLZO</w:t>
      </w:r>
      <w:r w:rsidRPr="00E707E7">
        <w:rPr>
          <w:sz w:val="22"/>
          <w:szCs w:val="22"/>
        </w:rPr>
        <w:t xml:space="preserve"> – niemetanowe lotne związki organiczne, używany jest również skrót NMVOC</w:t>
      </w:r>
    </w:p>
    <w:p w:rsidR="00D77FBD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OBIKŚ </w:t>
      </w:r>
      <w:r w:rsidRPr="00E707E7">
        <w:rPr>
          <w:sz w:val="22"/>
          <w:szCs w:val="22"/>
        </w:rPr>
        <w:t>- Ośrodek Badań i Kontroli Środowiska</w:t>
      </w:r>
    </w:p>
    <w:p w:rsidR="00EC1E37" w:rsidRPr="00EC1E37" w:rsidRDefault="00EC1E37" w:rsidP="00EC1E37">
      <w:pPr>
        <w:pStyle w:val="K-Pwypkt"/>
        <w:ind w:left="426"/>
        <w:rPr>
          <w:sz w:val="22"/>
          <w:szCs w:val="22"/>
        </w:rPr>
      </w:pPr>
      <w:r w:rsidRPr="00EC1E37">
        <w:rPr>
          <w:b/>
          <w:sz w:val="22"/>
          <w:szCs w:val="22"/>
        </w:rPr>
        <w:t>obszar przekroczeń</w:t>
      </w:r>
      <w:r w:rsidRPr="00EC1E37">
        <w:rPr>
          <w:sz w:val="22"/>
          <w:szCs w:val="22"/>
        </w:rPr>
        <w:t xml:space="preserve"> – obszar wyznaczony za pomocą modelowania matematycznego rozprzestrzeniania zanieczyszczeń w powietrzu, na którym występuje ryzyko przekroczenia standardów jakości powietrza określonych odpowiednimi przepisami. W przypadku pyłu zawieszonego PM10 obszar ryzyka przekroczeń wartości dopuszczalnych wyznaczony został </w:t>
      </w:r>
      <w:r>
        <w:rPr>
          <w:sz w:val="22"/>
          <w:szCs w:val="22"/>
        </w:rPr>
        <w:br/>
      </w:r>
      <w:r w:rsidRPr="00EC1E37">
        <w:rPr>
          <w:sz w:val="22"/>
          <w:szCs w:val="22"/>
        </w:rPr>
        <w:t>na podstawie izolinii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ozon </w:t>
      </w:r>
      <w:r w:rsidRPr="00E707E7">
        <w:rPr>
          <w:sz w:val="22"/>
          <w:szCs w:val="22"/>
        </w:rPr>
        <w:t>- jedna z odmian alotropowych tlenu (O</w:t>
      </w:r>
      <w:r w:rsidRPr="00E707E7">
        <w:rPr>
          <w:sz w:val="22"/>
          <w:szCs w:val="22"/>
          <w:vertAlign w:val="subscript"/>
        </w:rPr>
        <w:t>3</w:t>
      </w:r>
      <w:r w:rsidRPr="00E707E7">
        <w:rPr>
          <w:sz w:val="22"/>
          <w:szCs w:val="22"/>
        </w:rPr>
        <w:t>), posiadająca silne własności aseptyczne i toksyczne. W wyższych warstwach atmosfery pełni ważną rolę w pochłanianiu części promieniowania ultrafioletowego dochodzącego ze Słońca do Ziemi, natomiast w przyziemnej warstwie atmosfery jest gazem drażniącym, powoduje uszkodzenie błon biologicznych przez reakcje rodnikowe z ich składnikami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pelet </w:t>
      </w:r>
      <w:r w:rsidRPr="00E707E7">
        <w:rPr>
          <w:sz w:val="22"/>
          <w:szCs w:val="22"/>
        </w:rPr>
        <w:t xml:space="preserve">– paliwo w postaci sprasowanej materii organicznej, ma kształt cylindryczny o średnicy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5-8 mm i długości 10-35 mm. Wytwarzany jest z odpadów drzewnych tj. trociny, wióry o niskiej wilgotności, sprasowanych pod wysokim ciśnieniem w specjalnych prasach bez użycia dodatkowego lepiszcza. Jednostką handlową peletu jest kilogram. Jeden metr sześcienny waży ok. 650 kg. Produkcję peletu regulują odpowiednie normy europejskie Spalanie peletu odbywa się automatycznie w specjalnych palnikach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percentyl 90,4 ze stężeń pyłu zawieszonego PM10 </w:t>
      </w:r>
      <w:r w:rsidRPr="00E707E7">
        <w:rPr>
          <w:sz w:val="22"/>
          <w:szCs w:val="22"/>
        </w:rPr>
        <w:t>– percentyl z rocznej serii stężeń 24</w:t>
      </w:r>
      <w:r w:rsidRPr="00E707E7">
        <w:rPr>
          <w:sz w:val="22"/>
          <w:szCs w:val="22"/>
        </w:rPr>
        <w:noBreakHyphen/>
        <w:t>godzinnych pyłu zawieszonego PM10 w powietrzu, odnoszący się do dozwolonej (35 razy) częstości przekraczania dopuszczalnej normy. Dopuszczalna wartość percentyla 90,4 ze stężeń 24-godzinnych pyłu zawieszonego PM10 wynosi 50 µg/m</w:t>
      </w:r>
      <w:r w:rsidRPr="00E707E7">
        <w:rPr>
          <w:sz w:val="22"/>
          <w:szCs w:val="22"/>
          <w:vertAlign w:val="superscript"/>
        </w:rPr>
        <w:t>3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lastRenderedPageBreak/>
        <w:t xml:space="preserve">PDK </w:t>
      </w:r>
      <w:r w:rsidRPr="00E707E7">
        <w:rPr>
          <w:sz w:val="22"/>
          <w:szCs w:val="22"/>
        </w:rPr>
        <w:t>– Plan Działań Krótkoterminowych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pył zawieszony PM10 </w:t>
      </w:r>
      <w:r w:rsidRPr="00E707E7">
        <w:rPr>
          <w:sz w:val="22"/>
          <w:szCs w:val="22"/>
        </w:rPr>
        <w:t>- pył (PM- ang. particulate matter) jest zanieczyszczeniem powietrza składającym się z mieszaniny cząstek stałych, ciekłych lub obu naraz, zawieszonych w powietrzu i będących mieszaniną substancji organicznych i nieorganicznych. Pył zawieszony może zawierać substancje toksyczne takie jak wielopierścieniowe węglowodory aromatyczne (m.in. benzo(a)piren), metale ciężkie oraz dioksyny i furany. Cząstki te różnią się wielkością, składem i pochodzeniem. PM10 to pyły o średnicy aerodynamicznej do 10 µm, które mogą docierać do górnych dróg oddechowych i płuc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pył zawieszony PM2,5</w:t>
      </w:r>
      <w:r w:rsidRPr="00E707E7">
        <w:rPr>
          <w:sz w:val="22"/>
          <w:szCs w:val="22"/>
        </w:rPr>
        <w:t xml:space="preserve"> – cząstki pyłu o średnicy aerodynamicznej do 2,5 µm, które mogą docierać do górnych dróg oddechowych i płuc oraz przenikać przez ściany naczyń krwionośnych. Jak wynika z raportów Światowej Organizacji Zdrowia (WHO), długotrwałe narażenie na działanie pyłu zawieszonego PM2,5 skutkuje skróceniem średniej długości życia. Szacuje się (2000 r.), że życie przeciętnego mieszkańca Unii Europejskiej jest krótsze z tego powodu o ponad 8 miesięcy. Krótkotrwała ekspozycja na wysokie stężenia pyłu PM2,5 jest równie niebezpieczna, powoduje wzrost liczby zgonów z powodu chorób układu oddechowego i krążenia oraz wzrost ryzyka nagłych przypadków wymagających hospitalizacji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POIiŚ </w:t>
      </w:r>
      <w:r w:rsidRPr="00E707E7">
        <w:rPr>
          <w:sz w:val="22"/>
          <w:szCs w:val="22"/>
        </w:rPr>
        <w:t>– Program Operacyjny Infrastruktura i Środowisko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PONE </w:t>
      </w:r>
      <w:r w:rsidRPr="00E707E7">
        <w:rPr>
          <w:sz w:val="22"/>
          <w:szCs w:val="22"/>
        </w:rPr>
        <w:t>– Program Ograniczania Niskiej Emisji, polegający na wymianie starych kotłów, pieców węglowych na nowoczesne kotły węglowe, retortowe, gazowe, ogrzewanie elektryczne, zastosowanie alternatywnych źródeł energii lub podłączenie do miejskiej sieci ciepłowniczej; w ramach PONE likwidowane są również lokalne kotłownie węglowe; jest to jedna z możliwości ograniczenia emisji z indywidualnych systemów grzewczych - przykład dobrych praktyk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POP</w:t>
      </w:r>
      <w:r w:rsidRPr="00E707E7">
        <w:rPr>
          <w:sz w:val="22"/>
          <w:szCs w:val="22"/>
        </w:rPr>
        <w:t xml:space="preserve"> - Program ochrony powietrza, dokument przygotowany w celu określenia działań zmierzających do przywrócenia odpowiedniej jakości powietrza na terenie, na którym zanotowano przekroczenia dopuszczalnych stężeń zanieczyszczeń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poziom celu długoterminowego</w:t>
      </w:r>
      <w:r w:rsidRPr="00E707E7">
        <w:rPr>
          <w:sz w:val="22"/>
          <w:szCs w:val="22"/>
        </w:rPr>
        <w:t xml:space="preserve"> - jest to poziom substancji, poniżej którego, zgodnie ze stanem współczesnej wiedzy, bezpośredni szkodliwy wpływ na zdrowie ludzi lub środowisko jako całość jest mało prawdopodobny; poziom ten ma być osiągnięty w długim okresie czasu, z wyjątkiem sytuacji, gdy nie może być osiągnięty za pomocą ekonomicznie uzasadnionych działań technicznych i technologicznych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poziom dopuszczalny</w:t>
      </w:r>
      <w:r w:rsidRPr="00E707E7">
        <w:rPr>
          <w:sz w:val="22"/>
          <w:szCs w:val="22"/>
        </w:rPr>
        <w:t xml:space="preserve"> – poziom substancji, który ma być osiągnięty w określonym terminie i po tym terminie nie powinien być przekraczany; </w:t>
      </w:r>
      <w:r w:rsidRPr="00E707E7">
        <w:rPr>
          <w:b/>
          <w:sz w:val="22"/>
          <w:szCs w:val="22"/>
        </w:rPr>
        <w:t>poziom dopuszczalny jest standardem jakości powietrza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poziom docelowy </w:t>
      </w:r>
      <w:r w:rsidRPr="00E707E7">
        <w:rPr>
          <w:sz w:val="22"/>
          <w:szCs w:val="22"/>
        </w:rPr>
        <w:t>– poziom substancji, który ma być osiągnięty w określonym czasie za pomocą ekonomicznie uzasadnionych działań technicznych i technologicznych; poziom ten ustala się w celu unikania, zapobiegania lub ograniczania szkodliwego wpływu danej substancji na zdrowie ludzi lub środowisko jako całość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poziom substancji w powietrzu (imisja zanieczyszczeń) - </w:t>
      </w:r>
      <w:r w:rsidRPr="00E707E7">
        <w:rPr>
          <w:sz w:val="22"/>
          <w:szCs w:val="22"/>
        </w:rPr>
        <w:t xml:space="preserve">ilość zanieczyszczeń pyłowych lub gazowych w środowisku; jest miarą stopnia jego zanieczyszczenia definiowaną jako </w:t>
      </w:r>
      <w:r w:rsidRPr="00E707E7">
        <w:rPr>
          <w:b/>
          <w:bCs/>
          <w:sz w:val="22"/>
          <w:szCs w:val="22"/>
        </w:rPr>
        <w:t xml:space="preserve">stężenie </w:t>
      </w:r>
      <w:r w:rsidRPr="00E707E7">
        <w:rPr>
          <w:bCs/>
          <w:sz w:val="22"/>
          <w:szCs w:val="22"/>
        </w:rPr>
        <w:t>zanieczyszczeń w powietrzu</w:t>
      </w:r>
      <w:r w:rsidRPr="00E707E7">
        <w:rPr>
          <w:sz w:val="22"/>
          <w:szCs w:val="22"/>
        </w:rPr>
        <w:t xml:space="preserve"> (wyrażane w jednostkach masy danego zanieczyszczenia, np. dwutlenku siarki, na jednostkę objętości powietrza lub w ppm, ppb) oraz jako </w:t>
      </w:r>
      <w:r w:rsidRPr="00E707E7">
        <w:rPr>
          <w:b/>
          <w:sz w:val="22"/>
          <w:szCs w:val="22"/>
        </w:rPr>
        <w:t xml:space="preserve">opad </w:t>
      </w:r>
      <w:r w:rsidRPr="00E707E7">
        <w:rPr>
          <w:sz w:val="22"/>
          <w:szCs w:val="22"/>
        </w:rPr>
        <w:t>(</w:t>
      </w:r>
      <w:r w:rsidRPr="00E707E7">
        <w:rPr>
          <w:bCs/>
          <w:sz w:val="22"/>
          <w:szCs w:val="22"/>
        </w:rPr>
        <w:t>depozycja) zanieczyszczeń</w:t>
      </w:r>
      <w:r w:rsidRPr="00E707E7">
        <w:rPr>
          <w:sz w:val="22"/>
          <w:szCs w:val="22"/>
        </w:rPr>
        <w:t xml:space="preserve"> - ilość danego zanieczyszczenia osiadającego na powierzchnię ziemi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lastRenderedPageBreak/>
        <w:t>Program</w:t>
      </w:r>
      <w:r w:rsidRPr="00E707E7">
        <w:rPr>
          <w:bCs/>
          <w:sz w:val="22"/>
          <w:szCs w:val="22"/>
        </w:rPr>
        <w:t xml:space="preserve"> – wyrażenie używane w niniejszym dokumencie, jako skrócona nazwa Programu ochrony powietrza</w:t>
      </w:r>
      <w:r w:rsidRPr="00E707E7">
        <w:rPr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>dla strefy miasto Toruń ze względu na przekroczenia poziomów dopuszczalnych pyłu zawieszonego PM10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RPO </w:t>
      </w:r>
      <w:r w:rsidRPr="00E707E7">
        <w:rPr>
          <w:bCs/>
          <w:sz w:val="22"/>
          <w:szCs w:val="22"/>
        </w:rPr>
        <w:t>– Regionalny Program Operacyjny</w:t>
      </w:r>
    </w:p>
    <w:p w:rsidR="00D77FBD" w:rsidRPr="00E707E7" w:rsidRDefault="00D77FBD" w:rsidP="00D77FB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stężenie pyłu zawieszonego PM10 </w:t>
      </w:r>
      <w:r w:rsidRPr="00E707E7">
        <w:rPr>
          <w:bCs/>
          <w:sz w:val="22"/>
          <w:szCs w:val="22"/>
        </w:rPr>
        <w:t xml:space="preserve">– ilość pyłu o średnicy aerodynamicznej poniżej 10 </w:t>
      </w:r>
      <w:r w:rsidRPr="00E707E7">
        <w:rPr>
          <w:sz w:val="22"/>
          <w:szCs w:val="22"/>
        </w:rPr>
        <w:t>µm</w:t>
      </w:r>
      <w:r w:rsidRPr="00E707E7">
        <w:rPr>
          <w:bCs/>
          <w:sz w:val="22"/>
          <w:szCs w:val="22"/>
        </w:rPr>
        <w:t xml:space="preserve"> w jednostce objętości powietrza, wyrażona w µg/m</w:t>
      </w:r>
      <w:r w:rsidRPr="00E707E7">
        <w:rPr>
          <w:bCs/>
          <w:sz w:val="22"/>
          <w:szCs w:val="22"/>
          <w:vertAlign w:val="superscript"/>
        </w:rPr>
        <w:t>3</w:t>
      </w:r>
      <w:r w:rsidRPr="00E707E7">
        <w:rPr>
          <w:bCs/>
          <w:sz w:val="22"/>
          <w:szCs w:val="22"/>
        </w:rPr>
        <w:t xml:space="preserve"> </w:t>
      </w:r>
    </w:p>
    <w:p w:rsidR="00D77FBD" w:rsidRPr="00E707E7" w:rsidRDefault="00D77FBD" w:rsidP="00D77FBD">
      <w:pPr>
        <w:pStyle w:val="K-Pwypkt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termomodernizacja </w:t>
      </w:r>
      <w:r w:rsidRPr="00E707E7">
        <w:rPr>
          <w:bCs/>
          <w:sz w:val="22"/>
          <w:szCs w:val="22"/>
        </w:rPr>
        <w:t>–</w:t>
      </w:r>
      <w:r w:rsidRPr="00E707E7">
        <w:rPr>
          <w:sz w:val="22"/>
          <w:szCs w:val="22"/>
        </w:rPr>
        <w:t xml:space="preserve"> przedsięwzięcie mające</w:t>
      </w:r>
      <w:r w:rsidRPr="00E707E7">
        <w:rPr>
          <w:b/>
          <w:bCs/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 xml:space="preserve">na celu zmniejszenie </w:t>
      </w:r>
      <w:r w:rsidRPr="00E707E7">
        <w:rPr>
          <w:sz w:val="22"/>
          <w:szCs w:val="22"/>
        </w:rPr>
        <w:t>zapotrzebowania i zużycia energii cieplnej w danym obiekcie budowlanym. Termomodernizacja obejmuje zmiany zarówno w systemach ogrzewania i wentylacji, jak i strukturze budynku oraz instalacjach doprowadzających ciepło. Zakres termomodernizacji, podobnie jak jej parametry techniczne i ekonomiczne, określane są poprzez przeprowadzenie audytu energetycznego. Najczęściej przeprowadzane działania to:</w:t>
      </w:r>
    </w:p>
    <w:p w:rsidR="00D77FBD" w:rsidRPr="00E707E7" w:rsidRDefault="00D77FBD" w:rsidP="00D77FB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 xml:space="preserve">docieplanie ścian zewnętrznych i stropów, </w:t>
      </w:r>
    </w:p>
    <w:p w:rsidR="00D77FBD" w:rsidRPr="00E707E7" w:rsidRDefault="00D77FBD" w:rsidP="00D77FB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 xml:space="preserve">wymiana okien i drzwi, </w:t>
      </w:r>
    </w:p>
    <w:p w:rsidR="00D77FBD" w:rsidRPr="00E707E7" w:rsidRDefault="00D77FBD" w:rsidP="00D77FB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>wymiana lub modernizacja systemów grzewczych i wentylacyjnych.</w:t>
      </w:r>
    </w:p>
    <w:p w:rsidR="00D77FBD" w:rsidRPr="00E707E7" w:rsidRDefault="00D77FBD" w:rsidP="00D77FBD">
      <w:pPr>
        <w:pStyle w:val="NormalnyWeb"/>
        <w:spacing w:before="0" w:beforeAutospacing="0" w:after="0" w:afterAutospacing="0"/>
        <w:ind w:left="425"/>
        <w:jc w:val="both"/>
        <w:rPr>
          <w:sz w:val="22"/>
          <w:szCs w:val="22"/>
        </w:rPr>
      </w:pPr>
      <w:r w:rsidRPr="00E707E7">
        <w:rPr>
          <w:sz w:val="22"/>
          <w:szCs w:val="22"/>
        </w:rPr>
        <w:t>Zakres możliwych zmian jest ograniczony istniejącą bryłą, rozplanowaniem i konstrukcją budynków. Za możliwe i realne uznaje się średnie obniżenie zużycia energii o 35%-40% w stosunku do stanu aktualnego</w:t>
      </w:r>
    </w:p>
    <w:p w:rsidR="00D77FBD" w:rsidRPr="00E707E7" w:rsidRDefault="00D77FBD" w:rsidP="00D77FBD">
      <w:pPr>
        <w:pStyle w:val="NormalnyWeb"/>
        <w:spacing w:before="0" w:beforeAutospacing="0" w:after="0" w:afterAutospacing="0"/>
        <w:ind w:left="425"/>
        <w:jc w:val="both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unos </w:t>
      </w:r>
      <w:r w:rsidRPr="00E707E7">
        <w:rPr>
          <w:sz w:val="22"/>
          <w:szCs w:val="22"/>
        </w:rPr>
        <w:t>– masa substancji powstającej w źródle i unoszonej z tego źródła przed jakimkolwiek urządzeniem oczyszczającym w określonym przedziale czasu, strumień substancji doprowadzony do urządzenia oczyszczającego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spacing w:line="240" w:lineRule="auto"/>
        <w:ind w:left="426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WCZK </w:t>
      </w:r>
      <w:r w:rsidRPr="00E707E7">
        <w:rPr>
          <w:sz w:val="22"/>
          <w:szCs w:val="22"/>
        </w:rPr>
        <w:t>– Wojewódzkie Centrum Zarządzania Kryzysowego</w:t>
      </w:r>
    </w:p>
    <w:p w:rsidR="00D77FBD" w:rsidRPr="00E707E7" w:rsidRDefault="00D77FBD" w:rsidP="00D77FBD">
      <w:pPr>
        <w:pStyle w:val="Akapitzlist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WIOŚ </w:t>
      </w:r>
      <w:r w:rsidRPr="00E707E7">
        <w:rPr>
          <w:sz w:val="22"/>
          <w:szCs w:val="22"/>
        </w:rPr>
        <w:t>– Wojewódzki Inspektorat Ochrony Środowiska lub właściwy Wojewódzki Inspektor Ochrony Środowiska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ind w:left="426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WFOŚiGW</w:t>
      </w:r>
      <w:r w:rsidRPr="00E707E7">
        <w:rPr>
          <w:sz w:val="22"/>
          <w:szCs w:val="22"/>
        </w:rPr>
        <w:t xml:space="preserve"> – Wojewódzki Fundusz Ochrony Środowiska i Gospodarki Wodnej; od 1.01.2015 r. -</w:t>
      </w:r>
      <w:r w:rsidRPr="00E707E7">
        <w:rPr>
          <w:b/>
          <w:bCs/>
          <w:color w:val="292929"/>
          <w:sz w:val="22"/>
          <w:szCs w:val="22"/>
        </w:rPr>
        <w:t xml:space="preserve"> </w:t>
      </w:r>
      <w:r w:rsidRPr="00E707E7">
        <w:rPr>
          <w:sz w:val="22"/>
          <w:szCs w:val="22"/>
        </w:rPr>
        <w:t>samorządowa osoba prawna w rozumieniu art. 9 pkt. 14 Ustawy z dnia 27 sierpnia 2009 r. o finansach publicznych (Dz. U.</w:t>
      </w:r>
      <w:r w:rsidR="00430C44">
        <w:rPr>
          <w:sz w:val="22"/>
          <w:szCs w:val="22"/>
        </w:rPr>
        <w:t xml:space="preserve"> z 2009 r.</w:t>
      </w:r>
      <w:r w:rsidRPr="00E707E7">
        <w:rPr>
          <w:sz w:val="22"/>
          <w:szCs w:val="22"/>
        </w:rPr>
        <w:t xml:space="preserve"> Nr 157, poz. 1240</w:t>
      </w:r>
      <w:r w:rsidR="00430C44">
        <w:rPr>
          <w:sz w:val="22"/>
          <w:szCs w:val="22"/>
        </w:rPr>
        <w:t xml:space="preserve"> ze zm.</w:t>
      </w:r>
      <w:bookmarkStart w:id="6" w:name="_GoBack"/>
      <w:bookmarkEnd w:id="6"/>
      <w:r w:rsidRPr="00E707E7">
        <w:rPr>
          <w:sz w:val="22"/>
          <w:szCs w:val="22"/>
        </w:rPr>
        <w:t>)</w:t>
      </w:r>
    </w:p>
    <w:p w:rsidR="00D77FBD" w:rsidRPr="00E707E7" w:rsidRDefault="00D77FBD" w:rsidP="00D77FBD">
      <w:pPr>
        <w:pStyle w:val="Akapitzlist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liniowej</w:t>
      </w:r>
      <w:r w:rsidRPr="00E707E7">
        <w:rPr>
          <w:sz w:val="22"/>
          <w:szCs w:val="22"/>
        </w:rPr>
        <w:t xml:space="preserve"> - (zaliczone do powszechnego korzystania ze środowiska) to przede wszystkim główne trasy komunikacyjne przebiegające przez teren wyznaczonej strefy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ind w:left="426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powierzchniowej</w:t>
      </w:r>
      <w:r w:rsidRPr="00E707E7">
        <w:rPr>
          <w:sz w:val="22"/>
          <w:szCs w:val="22"/>
        </w:rPr>
        <w:t xml:space="preserve"> - (zaliczone do powszechnego korzystania ze środowiska) to źródła powodujące tzw. „niską emisję”. Zostały tu zaliczone obszary zwartej zabudowy mieszkaniowej jedno- i wielorodzinnej z indywidualnymi źródłami ciepła, małe zakłady rzemieślnicze bądź usługowe oraz obiekty użyteczności publicznej wraz z drogami lokalnymi</w:t>
      </w:r>
    </w:p>
    <w:p w:rsidR="00D77FBD" w:rsidRPr="00E707E7" w:rsidRDefault="00D77FBD" w:rsidP="00D77FBD">
      <w:pPr>
        <w:pStyle w:val="K-Pwypkt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:rsidR="00D77FBD" w:rsidRPr="00E707E7" w:rsidRDefault="00D77FBD" w:rsidP="00D77FB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punktowej</w:t>
      </w:r>
      <w:r w:rsidRPr="00E707E7">
        <w:rPr>
          <w:sz w:val="22"/>
          <w:szCs w:val="22"/>
        </w:rPr>
        <w:t xml:space="preserve"> - (zaliczone do korzystania ze środowiska) to emitory jednostek organizacyjnych o znaczącej emisji zanieczyszczeń, oddziałujące na obszar objęty analizą. Wśród nich występują zarówno emitory zlokalizowane na tym obszarze, jak i emitory zlokalizowane poza wskazanym obszarem, a mające istotny wpływ na wielkość notowanych stężeń substancji w powietrzu</w:t>
      </w:r>
    </w:p>
    <w:p w:rsidR="00E707E7" w:rsidRDefault="00E707E7" w:rsidP="00E707E7">
      <w:pPr>
        <w:pStyle w:val="K-Pnormal"/>
      </w:pPr>
    </w:p>
    <w:p w:rsidR="004930A0" w:rsidRDefault="004930A0" w:rsidP="00E707E7">
      <w:pPr>
        <w:pStyle w:val="K-Pnormal"/>
      </w:pPr>
    </w:p>
    <w:p w:rsidR="004930A0" w:rsidRPr="00E707E7" w:rsidRDefault="004930A0" w:rsidP="00E707E7">
      <w:pPr>
        <w:pStyle w:val="K-Pnormal"/>
      </w:pPr>
    </w:p>
    <w:p w:rsidR="00D77FBD" w:rsidRPr="00D84278" w:rsidRDefault="00D77FBD" w:rsidP="00F121D5">
      <w:pPr>
        <w:pStyle w:val="K-Ppowyr"/>
        <w:rPr>
          <w:i w:val="0"/>
          <w:sz w:val="20"/>
          <w:szCs w:val="20"/>
        </w:rPr>
      </w:pPr>
      <w:r w:rsidRPr="00D84278">
        <w:rPr>
          <w:i w:val="0"/>
          <w:sz w:val="20"/>
          <w:szCs w:val="20"/>
        </w:rPr>
        <w:lastRenderedPageBreak/>
        <w:t>WYBRANE SKRÓTY</w:t>
      </w:r>
    </w:p>
    <w:p w:rsidR="00D77FBD" w:rsidRPr="00263A73" w:rsidRDefault="00D77FBD" w:rsidP="00D77FBD">
      <w:pPr>
        <w:pStyle w:val="K-Pnormal"/>
        <w:rPr>
          <w:u w:val="single"/>
        </w:rPr>
      </w:pPr>
      <w:r w:rsidRPr="00263A73">
        <w:rPr>
          <w:u w:val="single"/>
        </w:rPr>
        <w:t>Klasyfikacja stref: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A</w:t>
      </w:r>
      <w:r w:rsidRPr="00263A73">
        <w:t xml:space="preserve"> – poziom stężeń nie przekracza wartości dopuszczalnej – działania niewymagane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B</w:t>
      </w:r>
      <w:r w:rsidRPr="00263A73">
        <w:t xml:space="preserve"> – poziom stężeń powyżej wartości dopuszczalnej, lecz nieprzekraczający wartości dopuszczalnej powiększonej o margines tolerancji – konieczne określenie obszarów i przyczyn oraz podjęcie działań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C</w:t>
      </w:r>
      <w:r w:rsidRPr="00263A73">
        <w:t xml:space="preserve"> – poziom stężeń powyżej wartości dopuszczalnej powiększonej o margines tolerancji – konieczne opracowanie POP</w:t>
      </w:r>
    </w:p>
    <w:p w:rsidR="00D77FBD" w:rsidRPr="00263A73" w:rsidRDefault="00D77FBD" w:rsidP="00D77FBD">
      <w:pPr>
        <w:pStyle w:val="K-Pnormal"/>
      </w:pPr>
      <w:r w:rsidRPr="00263A73">
        <w:t>Ponadto dla ozonu odnośnie celu długoterminowego:</w:t>
      </w:r>
    </w:p>
    <w:p w:rsidR="00D77FBD" w:rsidRPr="00263A73" w:rsidRDefault="00D77FBD" w:rsidP="00D77FBD">
      <w:pPr>
        <w:pStyle w:val="K-Pwypkt"/>
      </w:pPr>
      <w:r w:rsidRPr="00263A73">
        <w:rPr>
          <w:b/>
        </w:rPr>
        <w:t>D1</w:t>
      </w:r>
      <w:r w:rsidRPr="00263A73">
        <w:t xml:space="preserve"> </w:t>
      </w:r>
      <w:r>
        <w:t xml:space="preserve"> </w:t>
      </w:r>
      <w:r w:rsidRPr="00263A73">
        <w:t>– Stężenia nie przekraczają celu długoterminowego – działanie niewymagane</w:t>
      </w:r>
    </w:p>
    <w:p w:rsidR="00D77FBD" w:rsidRDefault="00D77FBD" w:rsidP="00D77FBD">
      <w:pPr>
        <w:pStyle w:val="K-Pwypkt"/>
      </w:pPr>
      <w:r w:rsidRPr="00263A73">
        <w:rPr>
          <w:b/>
        </w:rPr>
        <w:t>D2</w:t>
      </w:r>
      <w:r>
        <w:t>–</w:t>
      </w:r>
      <w:r w:rsidRPr="00263A73">
        <w:t>Stężenia powyżej poziomów celu długoterminowego – konieczne działania dla osiągnięcia celu długoterminowego do roku 202</w:t>
      </w:r>
      <w:bookmarkEnd w:id="2"/>
      <w:bookmarkEnd w:id="3"/>
      <w:bookmarkEnd w:id="4"/>
      <w:r>
        <w:t>5.</w:t>
      </w:r>
    </w:p>
    <w:p w:rsidR="007A5131" w:rsidRDefault="007A5131" w:rsidP="007A5131">
      <w:pPr>
        <w:pStyle w:val="K-Pwypkt"/>
        <w:numPr>
          <w:ilvl w:val="0"/>
          <w:numId w:val="0"/>
        </w:numPr>
        <w:rPr>
          <w:b/>
        </w:rPr>
      </w:pPr>
    </w:p>
    <w:p w:rsidR="007A5131" w:rsidRDefault="007A5131" w:rsidP="007A5131">
      <w:pPr>
        <w:pStyle w:val="Tekstprzypisudolnego"/>
        <w:rPr>
          <w:rFonts w:ascii="Times New Roman" w:hAnsi="Times New Roman"/>
          <w:sz w:val="22"/>
          <w:szCs w:val="22"/>
        </w:rPr>
      </w:pPr>
      <w:r w:rsidRPr="007A5131">
        <w:rPr>
          <w:rFonts w:ascii="Times New Roman" w:hAnsi="Times New Roman"/>
          <w:sz w:val="22"/>
          <w:szCs w:val="22"/>
        </w:rPr>
        <w:t>– opracowanie własne – tj. opracowane przez firmę ATMOTERM S.A. z Opola</w:t>
      </w:r>
      <w:r>
        <w:rPr>
          <w:rFonts w:ascii="Times New Roman" w:hAnsi="Times New Roman"/>
          <w:sz w:val="22"/>
          <w:szCs w:val="22"/>
        </w:rPr>
        <w:t>.</w:t>
      </w:r>
    </w:p>
    <w:p w:rsidR="00E707E7" w:rsidRPr="007A5131" w:rsidRDefault="00E707E7" w:rsidP="00D84278">
      <w:pPr>
        <w:pStyle w:val="Tekstprzypisudolnego"/>
        <w:ind w:left="0" w:firstLine="0"/>
        <w:rPr>
          <w:rFonts w:ascii="Times New Roman" w:hAnsi="Times New Roman"/>
          <w:sz w:val="22"/>
          <w:szCs w:val="22"/>
        </w:rPr>
      </w:pPr>
    </w:p>
    <w:p w:rsidR="00D77FBD" w:rsidRPr="00D84278" w:rsidRDefault="00D77FBD" w:rsidP="00F121D5">
      <w:pPr>
        <w:pStyle w:val="K-Pnagspis"/>
        <w:rPr>
          <w:color w:val="auto"/>
          <w:sz w:val="20"/>
          <w:szCs w:val="20"/>
        </w:rPr>
      </w:pPr>
      <w:bookmarkStart w:id="7" w:name="_Toc468705481"/>
      <w:r w:rsidRPr="00D84278">
        <w:rPr>
          <w:color w:val="auto"/>
          <w:sz w:val="20"/>
          <w:szCs w:val="20"/>
        </w:rPr>
        <w:t>PODSTAWY PRAWNE</w:t>
      </w:r>
      <w:bookmarkEnd w:id="7"/>
    </w:p>
    <w:p w:rsidR="00D77FBD" w:rsidRPr="00CB77B8" w:rsidRDefault="00D77FBD" w:rsidP="00D77FBD">
      <w:pPr>
        <w:pStyle w:val="K-Pnormal"/>
        <w:keepNext/>
        <w:rPr>
          <w:szCs w:val="22"/>
        </w:rPr>
      </w:pPr>
      <w:r w:rsidRPr="00CB77B8">
        <w:rPr>
          <w:szCs w:val="22"/>
        </w:rPr>
        <w:t>Obowiązek przygotowania programu ochrony powietrza (POP) wynika z ustawy z dnia 27 kwietnia 2001 r. - Prawo Ochrony Środowiska</w:t>
      </w:r>
      <w:r w:rsidRPr="00CB77B8">
        <w:rPr>
          <w:rStyle w:val="Odwoanieprzypisudolnego"/>
          <w:szCs w:val="22"/>
        </w:rPr>
        <w:footnoteReference w:id="1"/>
      </w:r>
      <w:r w:rsidRPr="00CB77B8">
        <w:rPr>
          <w:szCs w:val="22"/>
        </w:rPr>
        <w:t xml:space="preserve"> dla stref, w których stwierdzono przekroczenia poziomów dopuszczalnych lub docelowych, powiększonych w stosownych przypadkach o margines tolerancji, choćby jednej substancji, spośród określonych w rozporządzeniu Ministra Środowiska z dnia 24 sierpnia 2012 r. w sprawie poziomów niektórych substancji w powietrzu</w:t>
      </w:r>
      <w:r w:rsidRPr="00CB77B8">
        <w:rPr>
          <w:rStyle w:val="Odwoanieprzypisudolnego"/>
          <w:szCs w:val="22"/>
        </w:rPr>
        <w:footnoteReference w:id="2"/>
      </w:r>
      <w:r w:rsidRPr="00CB77B8">
        <w:rPr>
          <w:szCs w:val="22"/>
        </w:rPr>
        <w:t>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W 2012 roku uchwalona została ustawa z dnia 13 kwietnia 2012 roku o zmianie ustawy – Prawo ochrony środowiska oraz niektórych innych ustaw</w:t>
      </w:r>
      <w:r w:rsidRPr="00CB77B8">
        <w:rPr>
          <w:rStyle w:val="Odwoanieprzypisudolnego"/>
          <w:szCs w:val="22"/>
        </w:rPr>
        <w:footnoteReference w:id="3"/>
      </w:r>
      <w:r w:rsidRPr="00CB77B8">
        <w:rPr>
          <w:szCs w:val="22"/>
        </w:rPr>
        <w:t>, która wdraża do polskiego prawa zapisy Dyrektywy 2008/50/WE Parlamentu Europejskiego i Rady z dnia 21 maja 2008 r. w sprawie jakości powietrza i czystszego powietrza dla Europy</w:t>
      </w:r>
      <w:r w:rsidRPr="00CB77B8">
        <w:rPr>
          <w:rStyle w:val="Odwoanieprzypisudolnego"/>
          <w:szCs w:val="22"/>
        </w:rPr>
        <w:footnoteReference w:id="4"/>
      </w:r>
      <w:r w:rsidRPr="00CB77B8">
        <w:rPr>
          <w:szCs w:val="22"/>
        </w:rPr>
        <w:t xml:space="preserve">, zwanej CAFE. Ustawa ta wprowadziła zmiany zarówno w zakresie podziału na strefy, w których dokonuje się oceny jakości powietrza, jak również zmiany dotyczące programów ochrony powietrza, m.in. ich zawartości oraz kompetencji organów. </w:t>
      </w:r>
      <w:r w:rsidRPr="00CB77B8">
        <w:rPr>
          <w:szCs w:val="22"/>
        </w:rPr>
        <w:br/>
        <w:t xml:space="preserve">Obowiązek sporządzenia programu ochrony powietrza po wejściu </w:t>
      </w:r>
      <w:r w:rsidR="007A5131">
        <w:rPr>
          <w:szCs w:val="22"/>
        </w:rPr>
        <w:t>w życie ww. ustawy spoczywa na zarządzie w</w:t>
      </w:r>
      <w:r w:rsidRPr="00CB77B8">
        <w:rPr>
          <w:szCs w:val="22"/>
        </w:rPr>
        <w:t>ojewództwa. Program ochrony powietrza powinien uwzględniać cele zawarte w innych dokumentach planistycznych i strategicznych, w tym m.in. wojewódzkich programach ochrony środowiska, regionalnych programach operacyjnych i koncepcji przestrzennego zagospodarowania kraju. Program ochrony powietrza ma również zawierać plan działań krótkoterminowych.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Zdecydowanie rozszerzony został zakres opiniowania projektu uchwały w sprawie POP. W nowym kształcie prawnym konieczne jest uzyskanie opinii właściwych starostów, wójtów, burmistrzów i prezydentów miast, którzy na wydanie opinii mają 30 dni. Wprowadzony został zapis, że niewydanie opinii w przewidzianym terminie oznacza akceptację projektu uchwały w sprawie POP.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 xml:space="preserve">Ustawa zwiększa istotnie kompetencje wojewody, który przy pomocy wojewódzkiego inspektora ochrony środowiska sprawuje nadzór w zakresie terminowego uchwalenia programów ochrony powietrza i planów działań krótkoterminowych, a także wykonywania zadań określonych w programach ochrony powietrza i planach działań krótkoterminowych przez wójta, burmistrza </w:t>
      </w:r>
      <w:r w:rsidRPr="00CB77B8">
        <w:rPr>
          <w:szCs w:val="22"/>
        </w:rPr>
        <w:lastRenderedPageBreak/>
        <w:t>lub prezydenta miasta, starostę oraz inne podmioty. Wojewódzki inspektor ochrony środowiska w ramach prowadzonych kontroli realizacji wspomnianych zadań ma możliwość wydawania zaleceń pokontrolnych, a także nakładania kar pieniężnych za nieuchwalenie POP w wymaganym terminie oraz za nierealizowanie zadań wskazanych w programie ochrony powietrza.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Oceny jakości powietrza w danej strefie dokonuje, zgodnie z art. 89 ustawy Prawo ochrony środowiska wojewódzki inspektor ochrony środowiska w oparciu o prowadzony monitoring stanu powietrza. Stanowi to podstawę do klasyfikacji stref na</w:t>
      </w:r>
      <w:r w:rsidRPr="00CB77B8">
        <w:rPr>
          <w:rStyle w:val="Odwoanieprzypisudolnego"/>
          <w:szCs w:val="22"/>
        </w:rPr>
        <w:footnoteReference w:id="5"/>
      </w:r>
      <w:r w:rsidRPr="00CB77B8">
        <w:rPr>
          <w:szCs w:val="22"/>
        </w:rPr>
        <w:t>: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przekraczają poziomy dopuszczalne powiększone o margines tolerancji, a w przypadku, gdy margines tolerancji nie jest określony – poziomy dopuszczalne lub poziomy docelowe (strefa C),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przekraczają poziomy dopuszczalne lecz nie przekraczają poziomów dopuszczalnych powiększonych o margines tolerancji (strefa B),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nie przekraczają odpowiednio poziomów dopuszczalnych lub poziomów docelowych (strefa A).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Zaliczenie strefy do określonej klasy zależy od stężeń zanieczyszczeń występujących na jej obszarze i wiąże się z wymaganiami dotyczącymi działań na rzecz poprawy jakości powietrza lub na rzecz utrzymania tej jakości.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Zgodnie z art. 87 ww. ustawy strefę stanowi: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aglomeracja o liczbie mieszkańców większej niż 250 tysięcy,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miasto o liczbie mieszkańców większej niż 100 tysięcy,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pozostały obszar województwa, niewchodzący w skład aglomeracji i miast powyżej 100 tys. mieszkańców.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>Rozporządzenie Ministra Środowiska z dnia 2 sierpnia 2012 r. w sprawie stref, w których dokonuje się oceny jakości powietrza</w:t>
      </w:r>
      <w:r w:rsidRPr="00CB77B8">
        <w:rPr>
          <w:rStyle w:val="Odwoanieprzypisudolnego"/>
          <w:szCs w:val="22"/>
        </w:rPr>
        <w:footnoteReference w:id="6"/>
      </w:r>
      <w:r w:rsidRPr="00CB77B8">
        <w:rPr>
          <w:szCs w:val="22"/>
        </w:rPr>
        <w:t>, określa układ stref przypisując każdej kod.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CB77B8">
        <w:rPr>
          <w:szCs w:val="22"/>
        </w:rPr>
        <w:t xml:space="preserve">Obok wyników oceny dotyczącej poszczególnych zanieczyszczeń, każdej strefie przypisuje się jedną klasę, łączącą wyniki uzyskane dla wszystkich rozważanych zanieczyszczeń, oddzielnie ze względu na ochronę zdrowia i na ochronę roślin. Jest nią tzw. klasa łączna. Klasę łączną strefy określa się na podstawie klas wynikowych uzyskanych w strefie dla poszczególnych zanieczyszczeń. </w:t>
      </w:r>
      <w:r w:rsidRPr="00CB77B8">
        <w:rPr>
          <w:szCs w:val="22"/>
        </w:rPr>
        <w:br/>
        <w:t>Łączna klasa strefy odpowiada klasie najmniej korzystnej uzyskanej z klasyfikacji według zanieczyszczeń.</w:t>
      </w:r>
    </w:p>
    <w:p w:rsidR="00D77FBD" w:rsidRPr="00CB77B8" w:rsidRDefault="00D77FBD" w:rsidP="00D77FBD">
      <w:pPr>
        <w:pStyle w:val="K-Pnormal"/>
        <w:rPr>
          <w:szCs w:val="22"/>
        </w:rPr>
      </w:pPr>
      <w:r w:rsidRPr="007537E6">
        <w:rPr>
          <w:szCs w:val="22"/>
        </w:rPr>
        <w:t>Procedurę strategicznej oceny oddziaływania na środowisko projektu POP przeprowadz</w:t>
      </w:r>
      <w:r w:rsidR="00F957B8">
        <w:rPr>
          <w:szCs w:val="22"/>
        </w:rPr>
        <w:t xml:space="preserve">a Zarząd Województwa, jeśli </w:t>
      </w:r>
      <w:r w:rsidRPr="007537E6">
        <w:rPr>
          <w:szCs w:val="22"/>
        </w:rPr>
        <w:t>w uzgodnieniu z Regionalnym Dyrektorem Ochrony Środowiska stwierdzi, iż dokument ten może wyznaczać ramy dla realizacji przedsięwzięć mogących znacząco oddziaływać na środowisko, jego realizacja może spowodować znaczące oddziaływanie na środowisko. Zgodnie z art. 47  ustawy o udostępnianiu informacji o środowisku i jego ochronie, udziale społeczeństwa w ochronie środowiska oraz o ocenach oddziaływania na środowisko, organ opracowujący projekty dokumentów może, po uzgodnieniu z właściwymi organami, odstąpić od przeprowadzenia strategicznej oceny oddziaływania na środowisko, jeżeli realizacja postanowień danego dokumentu nie spowoduje znaczącego oddziaływania na środowisko.</w:t>
      </w:r>
    </w:p>
    <w:p w:rsidR="00D77FBD" w:rsidRPr="004930A0" w:rsidRDefault="00D77FBD" w:rsidP="00D77FBD">
      <w:pPr>
        <w:jc w:val="both"/>
        <w:rPr>
          <w:rFonts w:ascii="Times New Roman" w:hAnsi="Times New Roman" w:cs="Times New Roman"/>
        </w:rPr>
      </w:pPr>
      <w:r w:rsidRPr="004930A0">
        <w:rPr>
          <w:rFonts w:ascii="Times New Roman" w:hAnsi="Times New Roman" w:cs="Times New Roman"/>
        </w:rPr>
        <w:lastRenderedPageBreak/>
        <w:t>Konieczność przygotowania Programu ochrony powietrza, a następnie jego zakres i sposób uchwalania determinowana jest przez szereg przepisów prawnych. Poniżej wymieniono najważniejsze.</w:t>
      </w:r>
    </w:p>
    <w:p w:rsidR="00D77FBD" w:rsidRPr="007A5131" w:rsidRDefault="00D77FBD" w:rsidP="00D77FBD">
      <w:pPr>
        <w:pStyle w:val="Wpowyr"/>
        <w:rPr>
          <w:sz w:val="22"/>
          <w:szCs w:val="22"/>
        </w:rPr>
      </w:pPr>
      <w:r w:rsidRPr="007A5131">
        <w:rPr>
          <w:sz w:val="22"/>
          <w:szCs w:val="22"/>
        </w:rPr>
        <w:t>Ustawy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27 kwietnia 2001 r. - Prawo ochrony środowiska</w:t>
      </w:r>
      <w:r w:rsidRPr="007A5131">
        <w:rPr>
          <w:rStyle w:val="Odwoanieprzypisudolnego"/>
          <w:sz w:val="22"/>
          <w:szCs w:val="22"/>
        </w:rPr>
        <w:footnoteReference w:id="7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3 października 2008 r. o udostępnianiu informacji o środowisku i jego ochronie, udziale społeczeństwa w ochronie środowiska oraz o ocenach oddziaływania na środowisko</w:t>
      </w:r>
      <w:r w:rsidRPr="007A5131">
        <w:rPr>
          <w:rStyle w:val="Odwoanieprzypisudolnego"/>
          <w:sz w:val="22"/>
          <w:szCs w:val="22"/>
        </w:rPr>
        <w:footnoteReference w:id="8"/>
      </w:r>
      <w:r w:rsidRPr="007A5131">
        <w:rPr>
          <w:sz w:val="22"/>
          <w:szCs w:val="22"/>
          <w:vertAlign w:val="superscript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10 kwietnia 1997 r. Prawo energetyczne</w:t>
      </w:r>
      <w:r w:rsidRPr="007A5131">
        <w:rPr>
          <w:rStyle w:val="Odwoanieprzypisudolnego"/>
          <w:sz w:val="22"/>
          <w:szCs w:val="22"/>
        </w:rPr>
        <w:footnoteReference w:id="9"/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 xml:space="preserve">Ustawa z dnia 20 maja 2016 r. o efektywności energetycznej </w:t>
      </w:r>
      <w:r w:rsidRPr="007A5131">
        <w:rPr>
          <w:rStyle w:val="Odwoanieprzypisudolnego"/>
          <w:sz w:val="22"/>
          <w:szCs w:val="22"/>
        </w:rPr>
        <w:footnoteReference w:id="10"/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14 grudnia 2012 r. o odpadach</w:t>
      </w:r>
      <w:r w:rsidRPr="007A5131">
        <w:rPr>
          <w:rStyle w:val="Odwoanieprzypisudolnego"/>
          <w:sz w:val="22"/>
          <w:szCs w:val="22"/>
        </w:rPr>
        <w:footnoteReference w:id="11"/>
      </w:r>
      <w:r w:rsidRPr="007A5131">
        <w:rPr>
          <w:sz w:val="22"/>
          <w:szCs w:val="22"/>
          <w:vertAlign w:val="superscript"/>
        </w:rPr>
        <w:t>,</w:t>
      </w:r>
      <w:r w:rsidRPr="007A5131">
        <w:rPr>
          <w:sz w:val="22"/>
          <w:szCs w:val="22"/>
        </w:rPr>
        <w:t xml:space="preserve"> 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29 sierpnia 1997 r. o strażach gminnych</w:t>
      </w:r>
      <w:r w:rsidRPr="007A5131">
        <w:rPr>
          <w:rStyle w:val="Odwoanieprzypisudolnego"/>
          <w:sz w:val="22"/>
          <w:szCs w:val="22"/>
        </w:rPr>
        <w:footnoteReference w:id="12"/>
      </w:r>
      <w:r w:rsidRPr="007A5131">
        <w:rPr>
          <w:sz w:val="22"/>
          <w:szCs w:val="22"/>
          <w:vertAlign w:val="superscript"/>
        </w:rPr>
        <w:t>,</w:t>
      </w:r>
      <w:r w:rsidRPr="007A5131">
        <w:rPr>
          <w:sz w:val="22"/>
          <w:szCs w:val="22"/>
        </w:rPr>
        <w:t xml:space="preserve"> 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23 kwietnia 1964 r. Kodeks cywilny</w:t>
      </w:r>
      <w:r w:rsidRPr="007A5131">
        <w:rPr>
          <w:rStyle w:val="Odwoanieprzypisudolnego"/>
          <w:sz w:val="22"/>
          <w:szCs w:val="22"/>
        </w:rPr>
        <w:footnoteReference w:id="13"/>
      </w:r>
      <w:r w:rsidRPr="007A5131">
        <w:rPr>
          <w:sz w:val="22"/>
          <w:szCs w:val="22"/>
        </w:rPr>
        <w:t xml:space="preserve">, </w:t>
      </w:r>
    </w:p>
    <w:p w:rsidR="00D77FBD" w:rsidRPr="007A5131" w:rsidRDefault="00D77FBD" w:rsidP="00D77FBD">
      <w:pPr>
        <w:pStyle w:val="K-Pwypkt"/>
        <w:ind w:left="1212"/>
        <w:rPr>
          <w:rFonts w:cs="Arial"/>
          <w:sz w:val="22"/>
          <w:szCs w:val="22"/>
        </w:rPr>
      </w:pPr>
      <w:r w:rsidRPr="007A5131">
        <w:rPr>
          <w:sz w:val="22"/>
          <w:szCs w:val="22"/>
        </w:rPr>
        <w:t>Ustawa z dnia 6</w:t>
      </w:r>
      <w:r w:rsidRPr="007A5131">
        <w:rPr>
          <w:rFonts w:cs="Arial"/>
          <w:sz w:val="22"/>
          <w:szCs w:val="22"/>
        </w:rPr>
        <w:t xml:space="preserve"> czerwca 1997 r. Kodeks karny</w:t>
      </w:r>
      <w:r w:rsidRPr="007A5131">
        <w:rPr>
          <w:rStyle w:val="Odwoanieprzypisudolnego"/>
          <w:rFonts w:cs="Arial"/>
          <w:sz w:val="22"/>
          <w:szCs w:val="22"/>
        </w:rPr>
        <w:footnoteReference w:id="14"/>
      </w:r>
      <w:r w:rsidRPr="007A5131">
        <w:rPr>
          <w:rFonts w:cs="Arial"/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rFonts w:cs="Arial"/>
          <w:sz w:val="22"/>
          <w:szCs w:val="22"/>
        </w:rPr>
      </w:pPr>
      <w:r w:rsidRPr="007A5131">
        <w:rPr>
          <w:sz w:val="22"/>
          <w:szCs w:val="22"/>
        </w:rPr>
        <w:t>Ustawa z dnia 6 grudnia 2006 r. o zasadach prowadzenia polityki rozwoju</w:t>
      </w:r>
      <w:r w:rsidRPr="007A5131">
        <w:rPr>
          <w:rStyle w:val="Odwoanieprzypisudolnego"/>
          <w:sz w:val="22"/>
          <w:szCs w:val="22"/>
        </w:rPr>
        <w:footnoteReference w:id="15"/>
      </w:r>
      <w:r w:rsidRPr="007A5131">
        <w:rPr>
          <w:sz w:val="22"/>
          <w:szCs w:val="22"/>
        </w:rPr>
        <w:t>.</w:t>
      </w: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Konwencje, polityki, strategie i programy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Konwencja genewska z 1979 r. o transgranicznym zanieczyszczaniu powietrza na dalekie odległości,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Ramowa Konwencja Narodów Zjednoczonych w sprawie zmian klimatu</w:t>
      </w:r>
      <w:r w:rsidRPr="007A5131">
        <w:rPr>
          <w:rStyle w:val="Odwoanieprzypisudolnego"/>
          <w:sz w:val="22"/>
          <w:szCs w:val="22"/>
        </w:rPr>
        <w:footnoteReference w:id="16"/>
      </w:r>
      <w:r w:rsidRPr="007A5131">
        <w:rPr>
          <w:sz w:val="22"/>
          <w:szCs w:val="22"/>
        </w:rPr>
        <w:t xml:space="preserve"> i Protokół z Kioto</w:t>
      </w:r>
      <w:r w:rsidRPr="007A5131">
        <w:rPr>
          <w:rStyle w:val="Odwoanieprzypisudolnego"/>
          <w:sz w:val="22"/>
          <w:szCs w:val="22"/>
        </w:rPr>
        <w:footnoteReference w:id="17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VII Program działań środowiskowych</w:t>
      </w:r>
      <w:r w:rsidRPr="007A5131">
        <w:rPr>
          <w:rStyle w:val="Odwoanieprzypisudolnego"/>
          <w:sz w:val="22"/>
          <w:szCs w:val="22"/>
        </w:rPr>
        <w:footnoteReference w:id="18"/>
      </w:r>
      <w:r w:rsidRPr="007A5131">
        <w:rPr>
          <w:sz w:val="22"/>
          <w:szCs w:val="22"/>
        </w:rPr>
        <w:t xml:space="preserve"> i inne programy Unii Europejskiej,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Polityka klimatyczna Polski (konwencja klimatyczna)</w:t>
      </w:r>
      <w:r w:rsidRPr="007A5131">
        <w:rPr>
          <w:rStyle w:val="Odwoanieprzypisudolnego"/>
          <w:sz w:val="22"/>
          <w:szCs w:val="22"/>
        </w:rPr>
        <w:footnoteReference w:id="19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Krajowa strategia ograniczania emisji metali ciężkich</w:t>
      </w:r>
      <w:r w:rsidRPr="007A5131">
        <w:rPr>
          <w:rStyle w:val="Odwoanieprzypisudolnego"/>
          <w:sz w:val="22"/>
          <w:szCs w:val="22"/>
        </w:rPr>
        <w:footnoteReference w:id="20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Polityka energetyczna Polski do 2030 roku, Załącznik do uchwały nr 202/2009 Rady Ministrów z dnia 10 listopada 2009 r.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Uchwała nr 58 Rady Ministrów z dnia 15 kwietnia 2014 r. w sprawie przyjęcia Strategii „Bezpieczeństwo Energetyczne i Środowisko – perspektywa do 2020 r.” (M.P. poz. 469), tzw. BEiŚ</w:t>
      </w: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Dyrektywy i inne akty prawne Unii Europejskiej</w:t>
      </w:r>
    </w:p>
    <w:p w:rsidR="00D77FBD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Dyrektywa Parlamentu Europejskiego i Rady 2008/50/WE z dnia 21 maja 2008 r. w sprawie jakości powietrza i czystszego powietrza dla Europy (CAFE).</w:t>
      </w:r>
    </w:p>
    <w:p w:rsidR="00B8783C" w:rsidRPr="007A5131" w:rsidRDefault="00B8783C" w:rsidP="00B8783C">
      <w:pPr>
        <w:pStyle w:val="K-Pwypkt"/>
        <w:numPr>
          <w:ilvl w:val="0"/>
          <w:numId w:val="0"/>
        </w:numPr>
        <w:ind w:left="1077"/>
        <w:rPr>
          <w:sz w:val="22"/>
          <w:szCs w:val="22"/>
        </w:rPr>
      </w:pP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lastRenderedPageBreak/>
        <w:t>Rozporządzenia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24 sierpnia 2012 r. w sprawie poziomów niektórych substancji w powietrzu</w:t>
      </w:r>
      <w:r w:rsidRPr="007A5131">
        <w:rPr>
          <w:rStyle w:val="Odwoanieprzypisudolnego"/>
          <w:rFonts w:cs="Arial"/>
          <w:sz w:val="22"/>
          <w:szCs w:val="22"/>
        </w:rPr>
        <w:footnoteReference w:id="21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11 września 2012 r. w sprawie programów ochrony powietrza oraz planów działań krótkoterminowych</w:t>
      </w:r>
      <w:r w:rsidRPr="007A5131">
        <w:rPr>
          <w:rStyle w:val="Odwoanieprzypisudolnego"/>
          <w:rFonts w:cs="Arial"/>
          <w:sz w:val="22"/>
          <w:szCs w:val="22"/>
        </w:rPr>
        <w:footnoteReference w:id="22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2 sierpnia 2012 r. w sprawie stref, w których dokonuje się oceny jakości powietrza</w:t>
      </w:r>
      <w:r w:rsidRPr="007A5131">
        <w:rPr>
          <w:rStyle w:val="Odwoanieprzypisudolnego"/>
          <w:rFonts w:cs="Arial"/>
          <w:sz w:val="22"/>
          <w:szCs w:val="22"/>
        </w:rPr>
        <w:footnoteReference w:id="23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10 września 2012 r. w sprawie zakresu i sposobu przekazywania informacji dotyczących zanieczyszczenia powietrza</w:t>
      </w:r>
      <w:r w:rsidRPr="007A5131">
        <w:rPr>
          <w:rStyle w:val="Odwoanieprzypisudolnego"/>
          <w:rFonts w:cs="Arial"/>
          <w:sz w:val="22"/>
          <w:szCs w:val="22"/>
        </w:rPr>
        <w:footnoteReference w:id="24"/>
      </w:r>
      <w:r w:rsidRPr="007A5131">
        <w:rPr>
          <w:sz w:val="22"/>
          <w:szCs w:val="22"/>
        </w:rPr>
        <w:t>,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13 września 2012 r. w sprawie dokonywania oceny poziomów substancji w powietrzu</w:t>
      </w:r>
      <w:r w:rsidRPr="007A5131">
        <w:rPr>
          <w:rStyle w:val="Odwoanieprzypisudolnego"/>
          <w:rFonts w:cs="Arial"/>
          <w:sz w:val="22"/>
          <w:szCs w:val="22"/>
        </w:rPr>
        <w:footnoteReference w:id="25"/>
      </w:r>
      <w:r w:rsidRPr="007A5131">
        <w:rPr>
          <w:sz w:val="22"/>
          <w:szCs w:val="22"/>
        </w:rPr>
        <w:t>.</w:t>
      </w:r>
    </w:p>
    <w:p w:rsidR="00D77FBD" w:rsidRPr="007A5131" w:rsidRDefault="00D77FBD" w:rsidP="00D77FB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 xml:space="preserve">rozporządzenie Ministra Środowiska z dnia 4 listopada 2014 r. w sprawie standardów emisyjnych dla niektórych rodzajów instalacji, źródeł spalania paliw oraz urządzeń spalania lub współspalania odpadów </w:t>
      </w:r>
      <w:r w:rsidRPr="007A5131">
        <w:rPr>
          <w:rStyle w:val="Odwoanieprzypisudolnego"/>
          <w:sz w:val="22"/>
          <w:szCs w:val="22"/>
        </w:rPr>
        <w:footnoteReference w:id="26"/>
      </w:r>
      <w:r w:rsidRPr="007A5131">
        <w:rPr>
          <w:sz w:val="22"/>
          <w:szCs w:val="22"/>
        </w:rPr>
        <w:t>.</w:t>
      </w:r>
    </w:p>
    <w:p w:rsidR="00D77FBD" w:rsidRPr="007A5131" w:rsidRDefault="00D77FBD" w:rsidP="00D77FB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Inne dokumenty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Krajowy Program Ochrony Powietrza do roku 2020; Ministerstwo Środowiska, Warszawa  2015,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Wskazówki dla wojewódzkich inwentaryzacji emisji na potrzeby ocen bieżących i programów ochrony powietrza, Krajowe Centrum Inwentaryzacji Emisji w Instytucie Ochrony Środowiska; ATMOTERM S.A.; Warszawa 2003,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Zasady sporządzania naprawczych programów ochrony powietrza w strefach, Ministerstwo Środowiska; Warszawa 2003,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Aktualizacja zasad sporządzania naprawczych programów ochrony powietrza w strefach, Ministerstwo Środowiska; Warszawa 2008,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Wskazówki metodyczne dotyczące modelowania matematycznego w systemie zarządzania jakością powietrza, Ministerstwo Środowiska i Główny Inspektor Ochrony Środowiska; Warszawa 2003,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Wytyczne Ministerstwa Ochrony Środowiska Zasobów Naturalnych i Leśnictwa, dotyczące sposobów obliczania emisji pochodzących z procesu energetycznego spalania paliw w różnych typach urządzeń (materiały informacyjno-instruktażowe p.t. „Wskaźniki emisji substancji zanieczyszczających wprowadzanych do powietrza z procesów energetycznego spalania paliw”, 1996),</w:t>
      </w:r>
    </w:p>
    <w:p w:rsidR="00D77FBD" w:rsidRPr="007A5131" w:rsidRDefault="00D77FBD" w:rsidP="00D77FB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Roczne oceny jakości powietrza w województwie kujawsko-pomorskim za rok 2010, 2011, 2012, 2013, 2014, 2015 Wojewódzki Inspektorat Ochrony Środowiska w Bydgoszczy.</w:t>
      </w:r>
    </w:p>
    <w:p w:rsidR="00D77FBD" w:rsidRPr="007A5131" w:rsidRDefault="00D77FBD" w:rsidP="00D77FBD">
      <w:r w:rsidRPr="007A5131">
        <w:br w:type="page"/>
      </w:r>
    </w:p>
    <w:p w:rsidR="00D77FBD" w:rsidRPr="00D84278" w:rsidRDefault="00D77FBD" w:rsidP="00F121D5">
      <w:pPr>
        <w:pStyle w:val="K-Pnagspis"/>
        <w:tabs>
          <w:tab w:val="clear" w:pos="567"/>
          <w:tab w:val="left" w:pos="0"/>
        </w:tabs>
        <w:ind w:left="0" w:firstLine="0"/>
        <w:jc w:val="both"/>
        <w:rPr>
          <w:color w:val="auto"/>
          <w:sz w:val="20"/>
          <w:szCs w:val="20"/>
        </w:rPr>
      </w:pPr>
      <w:bookmarkStart w:id="8" w:name="_Toc468705482"/>
      <w:r w:rsidRPr="00D84278">
        <w:rPr>
          <w:color w:val="auto"/>
          <w:sz w:val="20"/>
          <w:szCs w:val="20"/>
        </w:rPr>
        <w:lastRenderedPageBreak/>
        <w:t>WYKAZ MAT</w:t>
      </w:r>
      <w:r w:rsidR="00F121D5" w:rsidRPr="00D84278">
        <w:rPr>
          <w:color w:val="auto"/>
          <w:sz w:val="20"/>
          <w:szCs w:val="20"/>
        </w:rPr>
        <w:t xml:space="preserve">ERIAŁÓW DOKUMENTÓW I PUBLIKACJI </w:t>
      </w:r>
      <w:r w:rsidRPr="00D84278">
        <w:rPr>
          <w:color w:val="auto"/>
          <w:sz w:val="20"/>
          <w:szCs w:val="20"/>
        </w:rPr>
        <w:t>WYKORZYSTANYCH I PODDANYCH ANALIZIE PRZY OPRACOWANIU PROGRAMU</w:t>
      </w:r>
      <w:bookmarkEnd w:id="8"/>
    </w:p>
    <w:p w:rsidR="00D77FBD" w:rsidRPr="00263A73" w:rsidRDefault="00D77FBD" w:rsidP="00D77FBD">
      <w:pPr>
        <w:pStyle w:val="K-Pnormal"/>
      </w:pPr>
      <w:r w:rsidRPr="00263A73">
        <w:t>Przy opracowaniu Programu ochrony powietrza analizie poddano następujące dokumenty: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Główny Urząd Statystyczny, dane za 2014, 2015 r.,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bookmarkStart w:id="9" w:name="OLE_LINK8"/>
      <w:bookmarkStart w:id="10" w:name="OLE_LINK9"/>
      <w:r w:rsidRPr="001F0BA6">
        <w:t>Roczna ocena jakości powietrza atmosferycznego w województwie kujawsko-pomorskim za rok 2010, WIOŚ Bydgoszcz 2011,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Roczna ocena jakości powietrza atmosferycznego w województwie kujawsko-pomorskim za rok 2011, WIOŚ Bydgoszcz 201</w:t>
      </w:r>
      <w:bookmarkEnd w:id="9"/>
      <w:bookmarkEnd w:id="10"/>
      <w:r w:rsidRPr="001F0BA6">
        <w:t>2,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Roczna ocena jakości powietrza atmosferycznego w województwie kujawsko-pomorskim za rok 2012, WIOŚ Bydgoszcz 2013,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Roczna ocena jakości powietrza atmosferycznego w województwie kujawsko-pomorskim za rok 2013, WIOŚ Bydgoszcz 2014,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Roczna ocena jakości powietrza atmosferycznego w województwie kujawsko-pomorskim za rok 2014, WIOŚ Bydgoszcz 2015,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Roczna ocena jakości powietrza atmosferycznego w województwie kujawsko-pomorskim za rok 2015, WIOŚ Bydgoszcz 2016,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Aneks do Rocznej oceny jakości powietrza atmosferycznego w województwie kujawsko-pomorskim za rok 2010, WIOŚ Bydgoszcz 2011,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Aneks do Rocznej oceny jakości powietrza atmosferycznego w województwie kujawsko-pomorskim za rok 2011, WIOŚ Bydgoszcz 2012,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 xml:space="preserve">Raport o stanie środowiska województwa kujawsko-pomorskiego w 2010 roku, </w:t>
      </w:r>
      <w:r>
        <w:br/>
      </w:r>
      <w:r w:rsidRPr="001F0BA6">
        <w:t>WIOŚ Bydgoszcz 2011,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Studium uwarunkowań i kierunków zagospodarowania przestrzennego miasta Bydgoszczy, Bydgoszcz 2009,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Program ochrony środowiska dla miasta Bydgoszczy na lata 2013-2016 z perspektywą do 2020 roku, Bydgoszcz 2012,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Aktualizacja założeń do planu zaopatrzenia Bydgoszczy w ciepło, energię elektryczną i paliwa gazowe do 2025 roku, Bydgoszcz 2015,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Plan działań na rzecz zrównoważonej energii - plan gospodarki niskoemisyjnej dla Miasta Bydgoszczy na lata 2014-2020+, Bydgoszcz, marzec 2015,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Program Operacyjny Infrastruktura i Środowisko, Narodowe Strategiczne Ramy Odniesienia 2007 – 2013, Szczegółowy opis priorytetów,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Program ochrony powietrza dla strefy aglomeracja bydgoska ze względu na przekroczenia poziomu docelowego arsenu , Toruń 2013,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Strategia rozwoju transportu do roku 2020 w województwie kujawsko-pomorskim,</w:t>
      </w:r>
    </w:p>
    <w:p w:rsidR="00E707E7" w:rsidRPr="00D91F0B" w:rsidRDefault="00E707E7" w:rsidP="00E707E7">
      <w:pPr>
        <w:pStyle w:val="K-Pnormal"/>
        <w:numPr>
          <w:ilvl w:val="0"/>
          <w:numId w:val="5"/>
        </w:numPr>
      </w:pPr>
      <w:r w:rsidRPr="001F0BA6">
        <w:t>Podstawy modelowania rozprzestrzeniania się zanieczyszczeń w powietrzu atmosferycznym, Maria Markiewicz, Oficyna Wydawnicza Politechniki Warszawskiej, Warszawa 2004.</w:t>
      </w:r>
    </w:p>
    <w:p w:rsidR="00FD4FB7" w:rsidRDefault="00E42DD3" w:rsidP="00F957B8">
      <w:pPr>
        <w:pStyle w:val="K-Pnormal"/>
      </w:pPr>
    </w:p>
    <w:sectPr w:rsidR="00FD4FB7" w:rsidSect="0026605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D3" w:rsidRDefault="00E42DD3" w:rsidP="00D77FBD">
      <w:pPr>
        <w:spacing w:after="0" w:line="240" w:lineRule="auto"/>
      </w:pPr>
      <w:r>
        <w:separator/>
      </w:r>
    </w:p>
  </w:endnote>
  <w:endnote w:type="continuationSeparator" w:id="0">
    <w:p w:rsidR="00E42DD3" w:rsidRDefault="00E42DD3" w:rsidP="00D7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50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2459A7" w:rsidRPr="00D33994" w:rsidRDefault="002459A7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3399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3399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3399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30C44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D3399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459A7" w:rsidRDefault="002459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D3" w:rsidRDefault="00E42DD3" w:rsidP="00D77FBD">
      <w:pPr>
        <w:spacing w:after="0" w:line="240" w:lineRule="auto"/>
      </w:pPr>
      <w:r>
        <w:separator/>
      </w:r>
    </w:p>
  </w:footnote>
  <w:footnote w:type="continuationSeparator" w:id="0">
    <w:p w:rsidR="00E42DD3" w:rsidRDefault="00E42DD3" w:rsidP="00D77FBD">
      <w:pPr>
        <w:spacing w:after="0" w:line="240" w:lineRule="auto"/>
      </w:pPr>
      <w:r>
        <w:continuationSeparator/>
      </w:r>
    </w:p>
  </w:footnote>
  <w:footnote w:id="1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Pr="00240492">
        <w:t xml:space="preserve">tekst jednolity </w:t>
      </w:r>
      <w:r w:rsidR="004930A0">
        <w:t>Dz. U. z 2017 r. poz. 519</w:t>
      </w:r>
      <w:r w:rsidRPr="005A6DEE">
        <w:t xml:space="preserve"> </w:t>
      </w:r>
      <w:r w:rsidRPr="00240492">
        <w:t>z późn. zm.</w:t>
      </w:r>
    </w:p>
  </w:footnote>
  <w:footnote w:id="2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 w:rsidRPr="00DD3ADB">
        <w:rPr>
          <w:vertAlign w:val="superscript"/>
        </w:rPr>
        <w:t xml:space="preserve"> </w:t>
      </w:r>
      <w:r w:rsidRPr="00DD3ADB">
        <w:t>Dz. U. z 2012 r. poz. 1031</w:t>
      </w:r>
    </w:p>
  </w:footnote>
  <w:footnote w:id="3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>
        <w:t xml:space="preserve"> Dz. U. z 2012 r.</w:t>
      </w:r>
      <w:r w:rsidRPr="00DD3ADB">
        <w:t xml:space="preserve"> poz. 460</w:t>
      </w:r>
    </w:p>
  </w:footnote>
  <w:footnote w:id="4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 w:rsidRPr="00DD3ADB">
        <w:t xml:space="preserve"> Dz. U. L 152/1 z 11.06.2008 r.</w:t>
      </w:r>
    </w:p>
  </w:footnote>
  <w:footnote w:id="5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Pr="00240492">
        <w:t xml:space="preserve">tekst jednolity </w:t>
      </w:r>
      <w:r w:rsidR="004930A0">
        <w:t>Dz. U. z 2017 r. poz. 519</w:t>
      </w:r>
      <w:r w:rsidRPr="005A6DEE">
        <w:t xml:space="preserve"> </w:t>
      </w:r>
      <w:r w:rsidRPr="00240492">
        <w:t>z późn. zm.</w:t>
      </w:r>
    </w:p>
  </w:footnote>
  <w:footnote w:id="6">
    <w:p w:rsidR="00D77FBD" w:rsidRPr="00DD3ADB" w:rsidRDefault="00D77FBD" w:rsidP="00D77FBD">
      <w:pPr>
        <w:pStyle w:val="Wprzypis"/>
      </w:pPr>
      <w:r w:rsidRPr="00DD3ADB">
        <w:rPr>
          <w:rStyle w:val="Odwoanieprzypisudolnego"/>
        </w:rPr>
        <w:footnoteRef/>
      </w:r>
      <w:r w:rsidRPr="00DD3ADB">
        <w:rPr>
          <w:vertAlign w:val="superscript"/>
        </w:rPr>
        <w:t xml:space="preserve"> </w:t>
      </w:r>
      <w:r w:rsidRPr="00DD3ADB">
        <w:t>Dz. U. z 2012 r. poz. 914</w:t>
      </w:r>
    </w:p>
  </w:footnote>
  <w:footnote w:id="7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="004930A0">
        <w:t xml:space="preserve"> Dz. U. z 2017 r. poz. 519</w:t>
      </w:r>
      <w:r w:rsidRPr="00A147A2">
        <w:t xml:space="preserve"> z późn. zm.</w:t>
      </w:r>
    </w:p>
  </w:footnote>
  <w:footnote w:id="8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A147A2">
        <w:t xml:space="preserve"> Dz</w:t>
      </w:r>
      <w:r w:rsidR="00C10993">
        <w:t>. U. z 2017 r. poz. 1405</w:t>
      </w:r>
      <w:r w:rsidRPr="00A147A2">
        <w:t xml:space="preserve"> z późn. zm.</w:t>
      </w:r>
    </w:p>
  </w:footnote>
  <w:footnote w:id="9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A147A2">
        <w:t xml:space="preserve"> </w:t>
      </w:r>
      <w:r w:rsidR="005A4A76">
        <w:rPr>
          <w:rFonts w:eastAsiaTheme="minorHAnsi"/>
        </w:rPr>
        <w:t>Dz. U. z 2017 r. poz. 220</w:t>
      </w:r>
      <w:r w:rsidRPr="00A147A2">
        <w:rPr>
          <w:rFonts w:eastAsiaTheme="minorHAnsi"/>
        </w:rPr>
        <w:t xml:space="preserve"> z późn. zm.</w:t>
      </w:r>
    </w:p>
  </w:footnote>
  <w:footnote w:id="10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Pr="00A147A2">
        <w:t xml:space="preserve"> Dz. U. z 2016 r. poz. 831</w:t>
      </w:r>
    </w:p>
  </w:footnote>
  <w:footnote w:id="11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="005018D0">
        <w:t xml:space="preserve"> Dz. U. z 2016 r. poz. 1987</w:t>
      </w:r>
      <w:r w:rsidRPr="00A147A2">
        <w:t xml:space="preserve"> z późn. zm.</w:t>
      </w:r>
    </w:p>
  </w:footnote>
  <w:footnote w:id="12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Pr="00A147A2">
        <w:t>Dz. U. z 2016 r. poz. 706</w:t>
      </w:r>
      <w:r w:rsidR="0083455A">
        <w:t xml:space="preserve"> z późn. zm.</w:t>
      </w:r>
    </w:p>
  </w:footnote>
  <w:footnote w:id="13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="00D06796">
        <w:t>Dz. U. z 2017 r. poz. 459 z późn. zm.</w:t>
      </w:r>
    </w:p>
  </w:footnote>
  <w:footnote w:id="14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Pr="00A147A2">
        <w:t>Dz. U. z 2016 r. poz. 1137</w:t>
      </w:r>
      <w:r w:rsidR="00D140B3">
        <w:t xml:space="preserve"> z późn. zm.</w:t>
      </w:r>
    </w:p>
  </w:footnote>
  <w:footnote w:id="15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Pr="00A147A2">
        <w:t xml:space="preserve"> Dz. U. z 201</w:t>
      </w:r>
      <w:r w:rsidR="002D5329">
        <w:t>7 r. poz. 1376 z późn. zm.</w:t>
      </w:r>
    </w:p>
  </w:footnote>
  <w:footnote w:id="16">
    <w:p w:rsidR="00D77FBD" w:rsidRDefault="00D77FBD" w:rsidP="00D77FBD">
      <w:pPr>
        <w:pStyle w:val="Tekstprzypisudolnego"/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Dz.U. </w:t>
      </w:r>
      <w:r w:rsidR="00F71542">
        <w:rPr>
          <w:rFonts w:ascii="Times New Roman" w:hAnsi="Times New Roman"/>
        </w:rPr>
        <w:t xml:space="preserve">z </w:t>
      </w:r>
      <w:r w:rsidRPr="003036E2">
        <w:rPr>
          <w:rFonts w:ascii="Times New Roman" w:hAnsi="Times New Roman"/>
        </w:rPr>
        <w:t xml:space="preserve">1996 </w:t>
      </w:r>
      <w:r w:rsidR="00F71542">
        <w:rPr>
          <w:rFonts w:ascii="Times New Roman" w:hAnsi="Times New Roman"/>
        </w:rPr>
        <w:t>r. N</w:t>
      </w:r>
      <w:r w:rsidRPr="003036E2">
        <w:rPr>
          <w:rFonts w:ascii="Times New Roman" w:hAnsi="Times New Roman"/>
        </w:rPr>
        <w:t>r 53 poz. 238</w:t>
      </w:r>
    </w:p>
  </w:footnote>
  <w:footnote w:id="17">
    <w:p w:rsidR="00D77FBD" w:rsidRDefault="00D77FBD" w:rsidP="00D77FBD">
      <w:pPr>
        <w:pStyle w:val="Tekstprzypisudolnego"/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Dz.U. </w:t>
      </w:r>
      <w:r w:rsidR="00F71542">
        <w:rPr>
          <w:rFonts w:ascii="Times New Roman" w:hAnsi="Times New Roman"/>
        </w:rPr>
        <w:t>z 2005 N</w:t>
      </w:r>
      <w:r w:rsidRPr="003036E2">
        <w:rPr>
          <w:rFonts w:ascii="Times New Roman" w:hAnsi="Times New Roman"/>
        </w:rPr>
        <w:t>r 203 poz. 1684</w:t>
      </w:r>
    </w:p>
  </w:footnote>
  <w:footnote w:id="18">
    <w:p w:rsidR="00D77FBD" w:rsidRPr="00A147A2" w:rsidRDefault="00D77FBD" w:rsidP="00D77FBD">
      <w:pPr>
        <w:pStyle w:val="Tekstprzypisudolnego"/>
        <w:rPr>
          <w:rFonts w:ascii="Times New Roman" w:hAnsi="Times New Roman"/>
        </w:rPr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Decyzja nr 1982/2006/WE Parlamentu Europejskiego i Rady z dnia 18 grudnia 2006 r</w:t>
      </w:r>
      <w:r>
        <w:rPr>
          <w:rFonts w:ascii="Times New Roman" w:hAnsi="Times New Roman"/>
        </w:rPr>
        <w:t>.</w:t>
      </w:r>
    </w:p>
  </w:footnote>
  <w:footnote w:id="19">
    <w:p w:rsidR="00D77FBD" w:rsidRPr="003036E2" w:rsidRDefault="00D77FBD" w:rsidP="00D77FBD">
      <w:pPr>
        <w:pStyle w:val="Tekstprzypisudolnego"/>
        <w:ind w:left="142" w:hanging="142"/>
        <w:rPr>
          <w:rFonts w:ascii="Times New Roman" w:hAnsi="Times New Roman"/>
          <w:szCs w:val="18"/>
        </w:rPr>
      </w:pPr>
      <w:r w:rsidRPr="003036E2">
        <w:rPr>
          <w:rStyle w:val="Odwoanieprzypisudolnego"/>
          <w:rFonts w:ascii="Times New Roman" w:hAnsi="Times New Roman"/>
          <w:szCs w:val="18"/>
        </w:rPr>
        <w:footnoteRef/>
      </w:r>
      <w:r w:rsidRPr="003036E2">
        <w:rPr>
          <w:rFonts w:ascii="Times New Roman" w:hAnsi="Times New Roman"/>
          <w:szCs w:val="18"/>
        </w:rPr>
        <w:t xml:space="preserve"> </w:t>
      </w:r>
      <w:r w:rsidRPr="003036E2">
        <w:rPr>
          <w:rFonts w:ascii="Times New Roman" w:hAnsi="Times New Roman"/>
          <w:color w:val="000000"/>
          <w:szCs w:val="18"/>
        </w:rPr>
        <w:t>Ministerstwo Środowiska, 2003. Polityka Klimatyczna Polski - Strategie redukcji emisji gazów cieplarnianych w Polsce do roku 2020</w:t>
      </w:r>
    </w:p>
  </w:footnote>
  <w:footnote w:id="20">
    <w:p w:rsidR="00D77FBD" w:rsidRPr="008C0312" w:rsidRDefault="00D77FBD" w:rsidP="00D77FBD">
      <w:pPr>
        <w:pStyle w:val="Tekstprzypisudolnego"/>
        <w:rPr>
          <w:rFonts w:ascii="Times New Roman" w:hAnsi="Times New Roman"/>
        </w:rPr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Ministerstwo Środowiska, 2002. Krajowa Strategia Ograniczania Emisji Metali Ciężkich</w:t>
      </w:r>
    </w:p>
  </w:footnote>
  <w:footnote w:id="21">
    <w:p w:rsidR="00D77FBD" w:rsidRPr="00AC396A" w:rsidRDefault="00D77FBD" w:rsidP="00D77FBD">
      <w:pPr>
        <w:pStyle w:val="K-Pprzypis"/>
      </w:pPr>
      <w:r w:rsidRPr="00AC396A">
        <w:rPr>
          <w:vertAlign w:val="superscript"/>
        </w:rPr>
        <w:footnoteRef/>
      </w:r>
      <w:r w:rsidRPr="00AC396A">
        <w:rPr>
          <w:vertAlign w:val="superscript"/>
        </w:rPr>
        <w:t xml:space="preserve"> </w:t>
      </w:r>
      <w:r w:rsidRPr="00AC396A">
        <w:t>Dz. U. z 2012 r. poz. 1031</w:t>
      </w:r>
    </w:p>
  </w:footnote>
  <w:footnote w:id="22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1028</w:t>
      </w:r>
    </w:p>
  </w:footnote>
  <w:footnote w:id="23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914</w:t>
      </w:r>
    </w:p>
  </w:footnote>
  <w:footnote w:id="24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1034</w:t>
      </w:r>
    </w:p>
  </w:footnote>
  <w:footnote w:id="25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t xml:space="preserve"> Dz. U. z 2012 r. poz. 1032</w:t>
      </w:r>
    </w:p>
  </w:footnote>
  <w:footnote w:id="26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Pr="00A30858">
        <w:t>Dz. U. z 2014 r. poz. 1546 i 1631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626D3"/>
    <w:multiLevelType w:val="hybridMultilevel"/>
    <w:tmpl w:val="C7DA9DA0"/>
    <w:lvl w:ilvl="0" w:tplc="0964B1AC">
      <w:start w:val="1"/>
      <w:numFmt w:val="bullet"/>
      <w:pStyle w:val="K-Pwypk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32B6B65E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FAE2D7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D00344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1E667D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9B6649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934F4A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AA175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57E4E3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F403AA7"/>
    <w:multiLevelType w:val="multilevel"/>
    <w:tmpl w:val="6032E98A"/>
    <w:lvl w:ilvl="0">
      <w:start w:val="1"/>
      <w:numFmt w:val="decimal"/>
      <w:pStyle w:val="K-Pnagl2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26295A"/>
    <w:multiLevelType w:val="hybridMultilevel"/>
    <w:tmpl w:val="204C6904"/>
    <w:lvl w:ilvl="0" w:tplc="1406736A">
      <w:start w:val="1"/>
      <w:numFmt w:val="decimal"/>
      <w:lvlText w:val="%1)"/>
      <w:lvlJc w:val="left"/>
      <w:pPr>
        <w:ind w:left="720" w:hanging="360"/>
      </w:pPr>
    </w:lvl>
    <w:lvl w:ilvl="1" w:tplc="1B1442B2" w:tentative="1">
      <w:start w:val="1"/>
      <w:numFmt w:val="lowerLetter"/>
      <w:lvlText w:val="%2."/>
      <w:lvlJc w:val="left"/>
      <w:pPr>
        <w:ind w:left="1440" w:hanging="360"/>
      </w:pPr>
    </w:lvl>
    <w:lvl w:ilvl="2" w:tplc="2E086F1A" w:tentative="1">
      <w:start w:val="1"/>
      <w:numFmt w:val="lowerRoman"/>
      <w:lvlText w:val="%3."/>
      <w:lvlJc w:val="right"/>
      <w:pPr>
        <w:ind w:left="2160" w:hanging="180"/>
      </w:pPr>
    </w:lvl>
    <w:lvl w:ilvl="3" w:tplc="B2446BBE" w:tentative="1">
      <w:start w:val="1"/>
      <w:numFmt w:val="decimal"/>
      <w:lvlText w:val="%4."/>
      <w:lvlJc w:val="left"/>
      <w:pPr>
        <w:ind w:left="2880" w:hanging="360"/>
      </w:pPr>
    </w:lvl>
    <w:lvl w:ilvl="4" w:tplc="EF24E886" w:tentative="1">
      <w:start w:val="1"/>
      <w:numFmt w:val="lowerLetter"/>
      <w:lvlText w:val="%5."/>
      <w:lvlJc w:val="left"/>
      <w:pPr>
        <w:ind w:left="3600" w:hanging="360"/>
      </w:pPr>
    </w:lvl>
    <w:lvl w:ilvl="5" w:tplc="1ED8BDBE" w:tentative="1">
      <w:start w:val="1"/>
      <w:numFmt w:val="lowerRoman"/>
      <w:lvlText w:val="%6."/>
      <w:lvlJc w:val="right"/>
      <w:pPr>
        <w:ind w:left="4320" w:hanging="180"/>
      </w:pPr>
    </w:lvl>
    <w:lvl w:ilvl="6" w:tplc="C7F81D6E" w:tentative="1">
      <w:start w:val="1"/>
      <w:numFmt w:val="decimal"/>
      <w:lvlText w:val="%7."/>
      <w:lvlJc w:val="left"/>
      <w:pPr>
        <w:ind w:left="5040" w:hanging="360"/>
      </w:pPr>
    </w:lvl>
    <w:lvl w:ilvl="7" w:tplc="79E6EB34" w:tentative="1">
      <w:start w:val="1"/>
      <w:numFmt w:val="lowerLetter"/>
      <w:lvlText w:val="%8."/>
      <w:lvlJc w:val="left"/>
      <w:pPr>
        <w:ind w:left="5760" w:hanging="360"/>
      </w:pPr>
    </w:lvl>
    <w:lvl w:ilvl="8" w:tplc="E0860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1841"/>
    <w:multiLevelType w:val="hybridMultilevel"/>
    <w:tmpl w:val="C1F2D89A"/>
    <w:lvl w:ilvl="0" w:tplc="04150001">
      <w:start w:val="1"/>
      <w:numFmt w:val="bullet"/>
      <w:pStyle w:val="Kwy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02E8"/>
    <w:multiLevelType w:val="hybridMultilevel"/>
    <w:tmpl w:val="4F9C99C4"/>
    <w:lvl w:ilvl="0" w:tplc="E30AA60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333366"/>
      </w:rPr>
    </w:lvl>
    <w:lvl w:ilvl="1" w:tplc="0415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FBD"/>
    <w:rsid w:val="00015743"/>
    <w:rsid w:val="00056CA4"/>
    <w:rsid w:val="000739F2"/>
    <w:rsid w:val="001078F8"/>
    <w:rsid w:val="00123DBB"/>
    <w:rsid w:val="00181D1B"/>
    <w:rsid w:val="00213860"/>
    <w:rsid w:val="002459A7"/>
    <w:rsid w:val="00266056"/>
    <w:rsid w:val="002C5951"/>
    <w:rsid w:val="002D5329"/>
    <w:rsid w:val="00430C44"/>
    <w:rsid w:val="00442864"/>
    <w:rsid w:val="004930A0"/>
    <w:rsid w:val="005018D0"/>
    <w:rsid w:val="0056708E"/>
    <w:rsid w:val="0056772F"/>
    <w:rsid w:val="005A4A76"/>
    <w:rsid w:val="007630CE"/>
    <w:rsid w:val="007A5131"/>
    <w:rsid w:val="00810429"/>
    <w:rsid w:val="0083455A"/>
    <w:rsid w:val="008B771C"/>
    <w:rsid w:val="00924566"/>
    <w:rsid w:val="00971FD0"/>
    <w:rsid w:val="009B675A"/>
    <w:rsid w:val="00A6788D"/>
    <w:rsid w:val="00A87CB1"/>
    <w:rsid w:val="00B8783C"/>
    <w:rsid w:val="00BC3A29"/>
    <w:rsid w:val="00BE2E98"/>
    <w:rsid w:val="00C10993"/>
    <w:rsid w:val="00D06796"/>
    <w:rsid w:val="00D140B3"/>
    <w:rsid w:val="00D33994"/>
    <w:rsid w:val="00D33DF2"/>
    <w:rsid w:val="00D77FBD"/>
    <w:rsid w:val="00D84278"/>
    <w:rsid w:val="00D86981"/>
    <w:rsid w:val="00E42DD3"/>
    <w:rsid w:val="00E707E7"/>
    <w:rsid w:val="00EC1E37"/>
    <w:rsid w:val="00ED1168"/>
    <w:rsid w:val="00F121D5"/>
    <w:rsid w:val="00F41F52"/>
    <w:rsid w:val="00F71542"/>
    <w:rsid w:val="00F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6B7B1-EA86-452B-BFDE-963745F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056"/>
  </w:style>
  <w:style w:type="paragraph" w:styleId="Nagwek1">
    <w:name w:val="heading 1"/>
    <w:basedOn w:val="Normalny"/>
    <w:next w:val="Normalny"/>
    <w:link w:val="Nagwek1Znak"/>
    <w:uiPriority w:val="9"/>
    <w:qFormat/>
    <w:rsid w:val="00D77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-P_odwolanie,opis dzialania"/>
    <w:basedOn w:val="Normalny"/>
    <w:next w:val="Normalny"/>
    <w:link w:val="AkapitzlistZnak"/>
    <w:uiPriority w:val="34"/>
    <w:qFormat/>
    <w:rsid w:val="00D77FBD"/>
    <w:pPr>
      <w:spacing w:after="0" w:line="240" w:lineRule="auto"/>
      <w:contextualSpacing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Hipercze">
    <w:name w:val="Hyperlink"/>
    <w:basedOn w:val="Domylnaczcionkaakapitu"/>
    <w:uiPriority w:val="99"/>
    <w:rsid w:val="00D77FBD"/>
    <w:rPr>
      <w:rFonts w:ascii="Arial" w:hAnsi="Arial" w:cs="Times New Roman"/>
      <w:color w:val="0000FF"/>
      <w:sz w:val="24"/>
      <w:u w:val="single"/>
    </w:rPr>
  </w:style>
  <w:style w:type="paragraph" w:styleId="NormalnyWeb">
    <w:name w:val="Normal (Web)"/>
    <w:basedOn w:val="Normalny"/>
    <w:uiPriority w:val="99"/>
    <w:rsid w:val="00D7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-Pnagspis">
    <w:name w:val="K-P_nag_spis"/>
    <w:basedOn w:val="Nagwek1"/>
    <w:next w:val="K-Pnormal"/>
    <w:link w:val="K-PnagspisZnak"/>
    <w:qFormat/>
    <w:rsid w:val="00D77FBD"/>
    <w:pPr>
      <w:keepLines w:val="0"/>
      <w:tabs>
        <w:tab w:val="left" w:pos="567"/>
      </w:tabs>
      <w:suppressAutoHyphens/>
      <w:spacing w:before="360" w:after="240" w:line="240" w:lineRule="auto"/>
      <w:ind w:left="431" w:hanging="431"/>
    </w:pPr>
    <w:rPr>
      <w:rFonts w:ascii="Times New Roman" w:eastAsia="Times New Roman" w:hAnsi="Times New Roman" w:cs="Arial"/>
      <w:kern w:val="28"/>
      <w:szCs w:val="32"/>
      <w:lang w:eastAsia="ar-SA"/>
    </w:rPr>
  </w:style>
  <w:style w:type="character" w:customStyle="1" w:styleId="K-PnagspisZnak">
    <w:name w:val="K-P_nag_spis Znak"/>
    <w:basedOn w:val="Nagwek1Znak"/>
    <w:link w:val="K-Pnagspis"/>
    <w:rsid w:val="00D77FBD"/>
    <w:rPr>
      <w:rFonts w:ascii="Times New Roman" w:eastAsia="Times New Roman" w:hAnsi="Times New Roman" w:cs="Arial"/>
      <w:b/>
      <w:bCs/>
      <w:color w:val="365F91" w:themeColor="accent1" w:themeShade="BF"/>
      <w:kern w:val="28"/>
      <w:sz w:val="28"/>
      <w:szCs w:val="32"/>
      <w:lang w:eastAsia="ar-SA"/>
    </w:rPr>
  </w:style>
  <w:style w:type="paragraph" w:customStyle="1" w:styleId="K-Pnagl1">
    <w:name w:val="K-P_nagl1"/>
    <w:basedOn w:val="Normalny"/>
    <w:next w:val="Normalny"/>
    <w:link w:val="K-Pnagl1Znak"/>
    <w:qFormat/>
    <w:rsid w:val="00D77FBD"/>
    <w:pPr>
      <w:keepNext/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caps/>
      <w:color w:val="365F91" w:themeColor="accent1" w:themeShade="BF"/>
      <w:kern w:val="28"/>
      <w:sz w:val="36"/>
      <w:szCs w:val="24"/>
      <w:lang w:eastAsia="pl-PL"/>
    </w:rPr>
  </w:style>
  <w:style w:type="character" w:customStyle="1" w:styleId="K-Pnagl1Znak">
    <w:name w:val="K-P_nagl1 Znak"/>
    <w:basedOn w:val="K-PnagspisZnak"/>
    <w:link w:val="K-Pnagl1"/>
    <w:rsid w:val="00D77FBD"/>
    <w:rPr>
      <w:rFonts w:ascii="Times New Roman" w:eastAsia="Times New Roman" w:hAnsi="Times New Roman" w:cs="Times New Roman"/>
      <w:b/>
      <w:bCs/>
      <w:iCs/>
      <w:caps/>
      <w:color w:val="365F91" w:themeColor="accent1" w:themeShade="BF"/>
      <w:kern w:val="28"/>
      <w:sz w:val="36"/>
      <w:szCs w:val="24"/>
      <w:lang w:eastAsia="pl-PL"/>
    </w:rPr>
  </w:style>
  <w:style w:type="paragraph" w:customStyle="1" w:styleId="Kwypunkt">
    <w:name w:val="Kwypunkt"/>
    <w:basedOn w:val="Normalny"/>
    <w:link w:val="KwypunktZnak"/>
    <w:rsid w:val="00D77FBD"/>
    <w:pPr>
      <w:numPr>
        <w:numId w:val="2"/>
      </w:num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customStyle="1" w:styleId="KwypunktZnak">
    <w:name w:val="Kwypunkt Znak"/>
    <w:basedOn w:val="Domylnaczcionkaakapitu"/>
    <w:link w:val="Kwypunkt"/>
    <w:rsid w:val="00D77FBD"/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K-Ppowyr">
    <w:name w:val="K-P_powyr"/>
    <w:basedOn w:val="Normalny"/>
    <w:next w:val="K-Pnormal"/>
    <w:link w:val="K-PpowyrZnak"/>
    <w:qFormat/>
    <w:rsid w:val="00D77FBD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character" w:customStyle="1" w:styleId="K-PpowyrZnak">
    <w:name w:val="K-P_powyr Znak"/>
    <w:basedOn w:val="Domylnaczcionkaakapitu"/>
    <w:link w:val="K-Ppowyr"/>
    <w:rsid w:val="00D77FBD"/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paragraph" w:customStyle="1" w:styleId="K-Pnormal">
    <w:name w:val="K-P_normal"/>
    <w:basedOn w:val="Normalny"/>
    <w:link w:val="K-PnormalZnak"/>
    <w:qFormat/>
    <w:rsid w:val="00D77FBD"/>
    <w:pPr>
      <w:spacing w:before="120" w:after="12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K-PnormalZnak">
    <w:name w:val="K-P_normal Znak"/>
    <w:basedOn w:val="Domylnaczcionkaakapitu"/>
    <w:link w:val="K-Pnormal"/>
    <w:rsid w:val="00D77FBD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K-Pwypkt">
    <w:name w:val="K-P_wypkt"/>
    <w:basedOn w:val="Kwypunkt"/>
    <w:link w:val="K-PwypktZnak"/>
    <w:qFormat/>
    <w:rsid w:val="00D77FBD"/>
    <w:pPr>
      <w:numPr>
        <w:numId w:val="3"/>
      </w:numPr>
      <w:spacing w:line="276" w:lineRule="auto"/>
    </w:pPr>
    <w:rPr>
      <w:rFonts w:ascii="Times New Roman" w:hAnsi="Times New Roman"/>
    </w:rPr>
  </w:style>
  <w:style w:type="character" w:customStyle="1" w:styleId="K-PwypktZnak">
    <w:name w:val="K-P_wypkt Znak"/>
    <w:basedOn w:val="KwypunktZnak"/>
    <w:link w:val="K-Pwypkt"/>
    <w:rsid w:val="00D77F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K-P_odwolanie Znak,opis dzialania Znak"/>
    <w:basedOn w:val="Domylnaczcionkaakapitu"/>
    <w:link w:val="Akapitzlist"/>
    <w:uiPriority w:val="34"/>
    <w:rsid w:val="00D77FBD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7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aliases w:val="Char,Tekst przypisu"/>
    <w:basedOn w:val="Normalny"/>
    <w:link w:val="TekstprzypisudolnegoZnak"/>
    <w:uiPriority w:val="99"/>
    <w:rsid w:val="00D77FBD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Char Znak,Tekst przypisu Znak"/>
    <w:basedOn w:val="Domylnaczcionkaakapitu"/>
    <w:link w:val="Tekstprzypisudolnego"/>
    <w:uiPriority w:val="99"/>
    <w:rsid w:val="00D77FBD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SUPERS,Footnote Reference Number,Odwołanie przypisu,EN Footnote Reference,Times 10 Point,Exposant 3 Point,Footnote symbol,Footnote reference number,note TESI,stylish,Footnote number,Ref,de nota al pie,Odwo3anie przypisu,number"/>
    <w:basedOn w:val="Domylnaczcionkaakapitu"/>
    <w:rsid w:val="00D77FBD"/>
    <w:rPr>
      <w:rFonts w:cs="Times New Roman"/>
      <w:vertAlign w:val="superscript"/>
    </w:rPr>
  </w:style>
  <w:style w:type="paragraph" w:customStyle="1" w:styleId="K-Pprzypis">
    <w:name w:val="K-P_przypis"/>
    <w:basedOn w:val="K-Pnormal"/>
    <w:link w:val="K-PprzypisZnak"/>
    <w:qFormat/>
    <w:rsid w:val="00D77FBD"/>
    <w:pPr>
      <w:spacing w:before="0" w:after="0" w:line="240" w:lineRule="auto"/>
      <w:ind w:left="170" w:hanging="170"/>
    </w:pPr>
    <w:rPr>
      <w:sz w:val="18"/>
    </w:rPr>
  </w:style>
  <w:style w:type="character" w:customStyle="1" w:styleId="K-PprzypisZnak">
    <w:name w:val="K-P_przypis Znak"/>
    <w:basedOn w:val="K-PnormalZnak"/>
    <w:link w:val="K-Pprzypis"/>
    <w:rsid w:val="00D77FBD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Wpowyr">
    <w:name w:val="W_powyr"/>
    <w:basedOn w:val="Normalny"/>
    <w:next w:val="Normalny"/>
    <w:link w:val="WpowyrZnak"/>
    <w:rsid w:val="00D77FBD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character" w:customStyle="1" w:styleId="WpowyrZnak">
    <w:name w:val="W_powyr Znak"/>
    <w:basedOn w:val="Domylnaczcionkaakapitu"/>
    <w:link w:val="Wpowyr"/>
    <w:rsid w:val="00D77FBD"/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paragraph" w:customStyle="1" w:styleId="Wprzypis">
    <w:name w:val="W_przypis"/>
    <w:basedOn w:val="Normalny"/>
    <w:link w:val="WprzypisZnak"/>
    <w:rsid w:val="00D77FBD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WprzypisZnak">
    <w:name w:val="W_przypis Znak"/>
    <w:basedOn w:val="Domylnaczcionkaakapitu"/>
    <w:link w:val="Wprzypis"/>
    <w:rsid w:val="00D77FBD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7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77F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-Pnagl2">
    <w:name w:val="K-P_nagl2"/>
    <w:basedOn w:val="Normalny"/>
    <w:next w:val="K-Pnormal"/>
    <w:link w:val="K-Pnagl2Znak"/>
    <w:qFormat/>
    <w:rsid w:val="00D77FBD"/>
    <w:pPr>
      <w:keepNext/>
      <w:numPr>
        <w:numId w:val="4"/>
      </w:numPr>
      <w:pBdr>
        <w:bottom w:val="single" w:sz="8" w:space="1" w:color="auto"/>
      </w:pBdr>
      <w:tabs>
        <w:tab w:val="left" w:pos="567"/>
      </w:tabs>
      <w:suppressAutoHyphens/>
      <w:spacing w:before="360" w:after="120" w:line="240" w:lineRule="auto"/>
      <w:jc w:val="both"/>
      <w:outlineLvl w:val="0"/>
    </w:pPr>
    <w:rPr>
      <w:rFonts w:ascii="Times New Roman" w:eastAsia="Times New Roman" w:hAnsi="Times New Roman" w:cs="Arial"/>
      <w:b/>
      <w:bCs/>
      <w:smallCaps/>
      <w:kern w:val="28"/>
      <w:sz w:val="32"/>
      <w:szCs w:val="24"/>
      <w:lang w:eastAsia="ar-SA"/>
    </w:rPr>
  </w:style>
  <w:style w:type="character" w:customStyle="1" w:styleId="K-Pnagl2Znak">
    <w:name w:val="K-P_nagl2 Znak"/>
    <w:basedOn w:val="Domylnaczcionkaakapitu"/>
    <w:link w:val="K-Pnagl2"/>
    <w:rsid w:val="00D77FBD"/>
    <w:rPr>
      <w:rFonts w:ascii="Times New Roman" w:eastAsia="Times New Roman" w:hAnsi="Times New Roman" w:cs="Arial"/>
      <w:b/>
      <w:bCs/>
      <w:smallCaps/>
      <w:kern w:val="28"/>
      <w:sz w:val="3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7B8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708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84278"/>
    <w:pPr>
      <w:tabs>
        <w:tab w:val="right" w:leader="dot" w:pos="9062"/>
      </w:tabs>
      <w:spacing w:after="100"/>
    </w:pPr>
    <w:rPr>
      <w:rFonts w:ascii="Times New Roman" w:hAnsi="Times New Roman"/>
      <w:noProof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278"/>
  </w:style>
  <w:style w:type="paragraph" w:styleId="Stopka">
    <w:name w:val="footer"/>
    <w:basedOn w:val="Normalny"/>
    <w:link w:val="StopkaZnak"/>
    <w:uiPriority w:val="99"/>
    <w:unhideWhenUsed/>
    <w:rsid w:val="00D8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Emisja_zanieczyszcze%C5%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l.wikipedia.org/wiki/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Atmosfe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31AC0-4C8E-4C34-A841-6581F6DC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3981</Words>
  <Characters>23891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Rygielska</dc:creator>
  <cp:lastModifiedBy>Katarzyna Wołowska</cp:lastModifiedBy>
  <cp:revision>29</cp:revision>
  <cp:lastPrinted>2016-12-02T13:33:00Z</cp:lastPrinted>
  <dcterms:created xsi:type="dcterms:W3CDTF">2016-12-02T13:32:00Z</dcterms:created>
  <dcterms:modified xsi:type="dcterms:W3CDTF">2017-09-21T12:25:00Z</dcterms:modified>
</cp:coreProperties>
</file>