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C0B9" w14:textId="324CC2B1" w:rsidR="00B35339" w:rsidRPr="00B35339" w:rsidRDefault="00B35339" w:rsidP="00DD11DD">
      <w:pPr>
        <w:spacing w:after="12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Druk nr 135</w:t>
      </w:r>
      <w:r w:rsidRPr="00B35339">
        <w:rPr>
          <w:rFonts w:ascii="Times New Roman" w:hAnsi="Times New Roman" w:cs="Times New Roman"/>
          <w:bCs/>
          <w:sz w:val="20"/>
        </w:rPr>
        <w:t>/23</w:t>
      </w:r>
      <w:r w:rsidRPr="00B35339">
        <w:rPr>
          <w:rFonts w:ascii="Times New Roman" w:hAnsi="Times New Roman" w:cs="Times New Roman"/>
          <w:bCs/>
          <w:sz w:val="20"/>
        </w:rPr>
        <w:tab/>
      </w:r>
      <w:r w:rsidRPr="00B35339">
        <w:rPr>
          <w:rFonts w:ascii="Times New Roman" w:hAnsi="Times New Roman" w:cs="Times New Roman"/>
          <w:bCs/>
          <w:sz w:val="18"/>
          <w:szCs w:val="18"/>
        </w:rPr>
        <w:tab/>
      </w:r>
      <w:r w:rsidRPr="00B35339">
        <w:rPr>
          <w:rFonts w:ascii="Times New Roman" w:hAnsi="Times New Roman" w:cs="Times New Roman"/>
          <w:bCs/>
          <w:sz w:val="18"/>
          <w:szCs w:val="18"/>
        </w:rPr>
        <w:tab/>
      </w:r>
      <w:r w:rsidRPr="00B35339">
        <w:rPr>
          <w:rFonts w:ascii="Times New Roman" w:hAnsi="Times New Roman" w:cs="Times New Roman"/>
          <w:bCs/>
          <w:sz w:val="18"/>
          <w:szCs w:val="18"/>
        </w:rPr>
        <w:tab/>
      </w:r>
      <w:r w:rsidRPr="00B35339">
        <w:rPr>
          <w:rFonts w:ascii="Times New Roman" w:hAnsi="Times New Roman" w:cs="Times New Roman"/>
          <w:bCs/>
          <w:sz w:val="18"/>
          <w:szCs w:val="18"/>
        </w:rPr>
        <w:tab/>
      </w:r>
      <w:r w:rsidRPr="00B35339">
        <w:rPr>
          <w:rFonts w:ascii="Times New Roman" w:hAnsi="Times New Roman" w:cs="Times New Roman"/>
          <w:bCs/>
          <w:sz w:val="18"/>
          <w:szCs w:val="18"/>
        </w:rPr>
        <w:tab/>
      </w:r>
      <w:r w:rsidRPr="00B35339">
        <w:rPr>
          <w:rFonts w:ascii="Times New Roman" w:hAnsi="Times New Roman" w:cs="Times New Roman"/>
          <w:bCs/>
          <w:sz w:val="18"/>
          <w:szCs w:val="18"/>
        </w:rPr>
        <w:tab/>
      </w:r>
      <w:r w:rsidRPr="00B35339">
        <w:rPr>
          <w:rFonts w:ascii="Times New Roman" w:hAnsi="Times New Roman" w:cs="Times New Roman"/>
          <w:bCs/>
          <w:sz w:val="20"/>
        </w:rPr>
        <w:t xml:space="preserve">Projekt uchwały Zarządu </w:t>
      </w:r>
    </w:p>
    <w:p w14:paraId="230A4FC0" w14:textId="77777777" w:rsidR="00B35339" w:rsidRPr="00B35339" w:rsidRDefault="00B35339" w:rsidP="00DD11DD">
      <w:pPr>
        <w:pStyle w:val="Tytu"/>
        <w:spacing w:after="120"/>
        <w:ind w:left="4248" w:firstLine="708"/>
        <w:jc w:val="left"/>
        <w:rPr>
          <w:b w:val="0"/>
          <w:bCs/>
          <w:lang w:val="pl-PL"/>
        </w:rPr>
      </w:pPr>
      <w:r w:rsidRPr="00B35339">
        <w:rPr>
          <w:b w:val="0"/>
          <w:bCs/>
          <w:lang w:val="pl-PL"/>
        </w:rPr>
        <w:tab/>
        <w:t xml:space="preserve">Województwa Kujawsko-Pomorskiego </w:t>
      </w:r>
      <w:r w:rsidRPr="00B35339">
        <w:rPr>
          <w:b w:val="0"/>
          <w:bCs/>
          <w:lang w:val="pl-PL"/>
        </w:rPr>
        <w:tab/>
      </w:r>
      <w:r w:rsidRPr="00B35339">
        <w:rPr>
          <w:b w:val="0"/>
          <w:bCs/>
          <w:lang w:val="pl-PL"/>
        </w:rPr>
        <w:tab/>
        <w:t>z dnia 8 listopada 2023 r.</w:t>
      </w:r>
    </w:p>
    <w:p w14:paraId="3C413CF8" w14:textId="77777777" w:rsidR="00B35339" w:rsidRDefault="00B35339" w:rsidP="00DD11DD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7E306C96" w14:textId="47C9CDE8" w:rsidR="001433DB" w:rsidRPr="00B35339" w:rsidRDefault="001433DB" w:rsidP="00DD11D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3533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UCHWAŁA NR </w:t>
      </w:r>
      <w:r w:rsidR="00B3533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</w:t>
      </w:r>
      <w:r w:rsidRPr="00B35339">
        <w:rPr>
          <w:rFonts w:ascii="Times New Roman" w:hAnsi="Times New Roman" w:cs="Times New Roman"/>
          <w:b/>
          <w:bCs/>
          <w:kern w:val="0"/>
          <w:sz w:val="24"/>
          <w:szCs w:val="24"/>
        </w:rPr>
        <w:t>/</w:t>
      </w:r>
      <w:r w:rsidR="00533001" w:rsidRPr="00B3533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</w:t>
      </w:r>
      <w:r w:rsidRPr="00B35339">
        <w:rPr>
          <w:rFonts w:ascii="Times New Roman" w:hAnsi="Times New Roman" w:cs="Times New Roman"/>
          <w:b/>
          <w:bCs/>
          <w:kern w:val="0"/>
          <w:sz w:val="24"/>
          <w:szCs w:val="24"/>
        </w:rPr>
        <w:t>/2</w:t>
      </w:r>
      <w:r w:rsidR="00533001" w:rsidRPr="00B35339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</w:p>
    <w:p w14:paraId="22C2A610" w14:textId="77777777" w:rsidR="001433DB" w:rsidRPr="00B35339" w:rsidRDefault="001433DB" w:rsidP="00DD11D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35339">
        <w:rPr>
          <w:rFonts w:ascii="Times New Roman" w:hAnsi="Times New Roman" w:cs="Times New Roman"/>
          <w:b/>
          <w:bCs/>
          <w:kern w:val="0"/>
          <w:sz w:val="24"/>
          <w:szCs w:val="24"/>
        </w:rPr>
        <w:t>SEJMIKU WOJEWÓDZTWA KUJAWSKO-POMORSKIEGO</w:t>
      </w:r>
    </w:p>
    <w:p w14:paraId="7BDEA04D" w14:textId="74A2EC0D" w:rsidR="001433DB" w:rsidRDefault="001433DB" w:rsidP="00DD11DD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B3533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 </w:t>
      </w:r>
      <w:r w:rsidRPr="00B3533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dnia  </w:t>
      </w:r>
      <w:r w:rsidR="00533001" w:rsidRPr="00B3533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702C76" w:rsidRPr="00B3533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  </w:t>
      </w:r>
      <w:r w:rsidR="00D0068F" w:rsidRPr="00B3533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 </w:t>
      </w:r>
      <w:r w:rsidR="00702C76" w:rsidRPr="00B3533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        </w:t>
      </w:r>
      <w:r w:rsidRPr="00B3533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202</w:t>
      </w:r>
      <w:r w:rsidR="00533001" w:rsidRPr="00B3533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3</w:t>
      </w:r>
      <w:r w:rsidRPr="00B3533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r.</w:t>
      </w:r>
    </w:p>
    <w:p w14:paraId="2946B705" w14:textId="77777777" w:rsidR="00B35339" w:rsidRPr="00B35339" w:rsidRDefault="00B35339" w:rsidP="00DD11DD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4292053" w14:textId="5A98F77D" w:rsidR="001433DB" w:rsidRPr="00B35339" w:rsidRDefault="001433DB" w:rsidP="00DD11D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35339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</w:t>
      </w:r>
      <w:r w:rsidRPr="00B353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5339">
        <w:rPr>
          <w:rFonts w:ascii="Times New Roman" w:hAnsi="Times New Roman" w:cs="Times New Roman"/>
          <w:b/>
          <w:bCs/>
          <w:kern w:val="0"/>
          <w:sz w:val="24"/>
          <w:szCs w:val="24"/>
        </w:rPr>
        <w:t>przyjęcia projektu uchwały zmieniającej uchwałę w sprawie Obszaru</w:t>
      </w:r>
      <w:r w:rsidR="00030E7E" w:rsidRPr="00B3533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B35339">
        <w:rPr>
          <w:rFonts w:ascii="Times New Roman" w:hAnsi="Times New Roman" w:cs="Times New Roman"/>
          <w:b/>
          <w:bCs/>
          <w:kern w:val="0"/>
          <w:sz w:val="24"/>
          <w:szCs w:val="24"/>
        </w:rPr>
        <w:t>Chronionego Krajobrazu Doliny Drwęcy</w:t>
      </w:r>
    </w:p>
    <w:p w14:paraId="097278B7" w14:textId="77777777" w:rsidR="001433DB" w:rsidRPr="00B35339" w:rsidRDefault="001433DB" w:rsidP="00DD11DD">
      <w:pPr>
        <w:spacing w:after="12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1EE2E26" w14:textId="5945047B" w:rsidR="001433DB" w:rsidRPr="00B35339" w:rsidRDefault="00030E7E" w:rsidP="00DD11D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35339">
        <w:rPr>
          <w:rFonts w:ascii="Times New Roman" w:hAnsi="Times New Roman" w:cs="Times New Roman"/>
          <w:kern w:val="0"/>
          <w:sz w:val="24"/>
          <w:szCs w:val="24"/>
        </w:rPr>
        <w:tab/>
      </w:r>
      <w:r w:rsidR="001433DB" w:rsidRPr="00B35339">
        <w:rPr>
          <w:rFonts w:ascii="Times New Roman" w:hAnsi="Times New Roman" w:cs="Times New Roman"/>
          <w:kern w:val="0"/>
          <w:sz w:val="24"/>
          <w:szCs w:val="24"/>
        </w:rPr>
        <w:t>Na podstawie art. 23 ust. 3 ustawy z dnia 16 kwietnia 2004 r. o ochronie</w:t>
      </w:r>
      <w:r w:rsidRPr="00B353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433DB" w:rsidRPr="00B35339">
        <w:rPr>
          <w:rFonts w:ascii="Times New Roman" w:hAnsi="Times New Roman" w:cs="Times New Roman"/>
          <w:kern w:val="0"/>
          <w:sz w:val="24"/>
          <w:szCs w:val="24"/>
        </w:rPr>
        <w:t xml:space="preserve">przyrody </w:t>
      </w:r>
      <w:r w:rsidRPr="00B35339">
        <w:rPr>
          <w:rFonts w:ascii="Times New Roman" w:hAnsi="Times New Roman" w:cs="Times New Roman"/>
          <w:kern w:val="0"/>
          <w:sz w:val="24"/>
          <w:szCs w:val="24"/>
        </w:rPr>
        <w:br/>
      </w:r>
      <w:r w:rsidR="002D563E" w:rsidRPr="00B3533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B35339">
        <w:rPr>
          <w:rFonts w:ascii="Times New Roman" w:hAnsi="Times New Roman" w:cs="Times New Roman"/>
          <w:color w:val="000000" w:themeColor="text1"/>
          <w:sz w:val="24"/>
          <w:szCs w:val="24"/>
        </w:rPr>
        <w:t>Dz.</w:t>
      </w:r>
      <w:r w:rsidR="00B35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5339">
        <w:rPr>
          <w:rFonts w:ascii="Times New Roman" w:hAnsi="Times New Roman" w:cs="Times New Roman"/>
          <w:color w:val="000000" w:themeColor="text1"/>
          <w:sz w:val="24"/>
          <w:szCs w:val="24"/>
        </w:rPr>
        <w:t>U. 2023 poz. 1336</w:t>
      </w:r>
      <w:r w:rsidR="00243880" w:rsidRPr="00B35339">
        <w:rPr>
          <w:rFonts w:ascii="Times New Roman" w:hAnsi="Times New Roman" w:cs="Times New Roman"/>
          <w:color w:val="000000" w:themeColor="text1"/>
          <w:sz w:val="24"/>
          <w:szCs w:val="24"/>
        </w:rPr>
        <w:t>, 1688 i 1890</w:t>
      </w:r>
      <w:r w:rsidR="002D563E" w:rsidRPr="00B3533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433DB" w:rsidRPr="00B35339">
        <w:rPr>
          <w:rFonts w:ascii="Times New Roman" w:hAnsi="Times New Roman" w:cs="Times New Roman"/>
          <w:kern w:val="0"/>
          <w:sz w:val="24"/>
          <w:szCs w:val="24"/>
        </w:rPr>
        <w:t>, uchwala się, co następuje:</w:t>
      </w:r>
    </w:p>
    <w:p w14:paraId="3D62617E" w14:textId="77777777" w:rsidR="00030E7E" w:rsidRPr="00B35339" w:rsidRDefault="00030E7E" w:rsidP="00DD11D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BDF28BC" w14:textId="364246E8" w:rsidR="001433DB" w:rsidRPr="00B35339" w:rsidRDefault="001433DB" w:rsidP="00DD11DD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35339">
        <w:rPr>
          <w:rFonts w:ascii="Times New Roman" w:hAnsi="Times New Roman" w:cs="Times New Roman"/>
          <w:kern w:val="0"/>
          <w:sz w:val="24"/>
          <w:szCs w:val="24"/>
        </w:rPr>
        <w:t>Przyjmuje się projekt uchwały zmieniającej uchwałę w sprawie Obszaru</w:t>
      </w:r>
      <w:r w:rsidR="00030E7E" w:rsidRPr="00B353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5339">
        <w:rPr>
          <w:rFonts w:ascii="Times New Roman" w:hAnsi="Times New Roman" w:cs="Times New Roman"/>
          <w:kern w:val="0"/>
          <w:sz w:val="24"/>
          <w:szCs w:val="24"/>
        </w:rPr>
        <w:t>Chronionego Krajobrazu Doliny Drwęcy, stanowiący załącznik do niniejszej uchwały.</w:t>
      </w:r>
    </w:p>
    <w:p w14:paraId="29D32FB2" w14:textId="77777777" w:rsidR="00030E7E" w:rsidRPr="00B35339" w:rsidRDefault="00030E7E" w:rsidP="00DD11D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CAFE319" w14:textId="27A7139D" w:rsidR="001433DB" w:rsidRPr="00B35339" w:rsidRDefault="001433DB" w:rsidP="00DD11DD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35339">
        <w:rPr>
          <w:rFonts w:ascii="Times New Roman" w:hAnsi="Times New Roman" w:cs="Times New Roman"/>
          <w:kern w:val="0"/>
          <w:sz w:val="24"/>
          <w:szCs w:val="24"/>
        </w:rPr>
        <w:t>Przedmiotowy projekt przekazuje się do Rady Gminy Bartniczka, Rady Gminy</w:t>
      </w:r>
      <w:r w:rsidR="00030E7E" w:rsidRPr="00B353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5339">
        <w:rPr>
          <w:rFonts w:ascii="Times New Roman" w:hAnsi="Times New Roman" w:cs="Times New Roman"/>
          <w:kern w:val="0"/>
          <w:sz w:val="24"/>
          <w:szCs w:val="24"/>
        </w:rPr>
        <w:t>Brodnica, Rady Miejskiej w Brodnicy, Rady Gminy Brzozie, Rady Gminy Ciechocin, Rady</w:t>
      </w:r>
      <w:r w:rsidR="00030E7E" w:rsidRPr="00B353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5339">
        <w:rPr>
          <w:rFonts w:ascii="Times New Roman" w:hAnsi="Times New Roman" w:cs="Times New Roman"/>
          <w:kern w:val="0"/>
          <w:sz w:val="24"/>
          <w:szCs w:val="24"/>
        </w:rPr>
        <w:t>Gminy Dębowa Łąka, Rady Miejskiej w Górznie, Rady Gminy Golub-Dobrzyń, Rady Miasta</w:t>
      </w:r>
      <w:r w:rsidR="00030E7E" w:rsidRPr="00B353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5339">
        <w:rPr>
          <w:rFonts w:ascii="Times New Roman" w:hAnsi="Times New Roman" w:cs="Times New Roman"/>
          <w:kern w:val="0"/>
          <w:sz w:val="24"/>
          <w:szCs w:val="24"/>
        </w:rPr>
        <w:t>Golubia-Dobrzynia, Rady Miejskiej Jabłonowa Pomorskiego, Rady Miejskiej w Kowalewie</w:t>
      </w:r>
      <w:r w:rsidR="00030E7E" w:rsidRPr="00B353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5339">
        <w:rPr>
          <w:rFonts w:ascii="Times New Roman" w:hAnsi="Times New Roman" w:cs="Times New Roman"/>
          <w:kern w:val="0"/>
          <w:sz w:val="24"/>
          <w:szCs w:val="24"/>
        </w:rPr>
        <w:t>Pomorskim, Rady Gminy Lubicz, Rady Gminy Łysomice, Rady Gminy Obrowo, Rady</w:t>
      </w:r>
      <w:r w:rsidR="00030E7E" w:rsidRPr="00B353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5339">
        <w:rPr>
          <w:rFonts w:ascii="Times New Roman" w:hAnsi="Times New Roman" w:cs="Times New Roman"/>
          <w:kern w:val="0"/>
          <w:sz w:val="24"/>
          <w:szCs w:val="24"/>
        </w:rPr>
        <w:t>Gminy Osiek, Rady Gminy Radomin, Rady Miasta Torunia, Rady Gminy Wąpielsk; Rady</w:t>
      </w:r>
      <w:r w:rsidR="00030E7E" w:rsidRPr="00B353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35339">
        <w:rPr>
          <w:rFonts w:ascii="Times New Roman" w:hAnsi="Times New Roman" w:cs="Times New Roman"/>
          <w:kern w:val="0"/>
          <w:sz w:val="24"/>
          <w:szCs w:val="24"/>
        </w:rPr>
        <w:t>Gminy Zbiczno, Rady Gminy Bobrowo oraz Regionalnego Dyrektora Ochrony Środowiska</w:t>
      </w:r>
      <w:r w:rsidR="00030E7E" w:rsidRPr="00B353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30E7E" w:rsidRPr="00B35339">
        <w:rPr>
          <w:rFonts w:ascii="Times New Roman" w:hAnsi="Times New Roman" w:cs="Times New Roman"/>
          <w:kern w:val="0"/>
          <w:sz w:val="24"/>
          <w:szCs w:val="24"/>
        </w:rPr>
        <w:br/>
      </w:r>
      <w:r w:rsidRPr="00B35339">
        <w:rPr>
          <w:rFonts w:ascii="Times New Roman" w:hAnsi="Times New Roman" w:cs="Times New Roman"/>
          <w:kern w:val="0"/>
          <w:sz w:val="24"/>
          <w:szCs w:val="24"/>
        </w:rPr>
        <w:t>w Bydgoszczy w celu uzgodnienia.</w:t>
      </w:r>
    </w:p>
    <w:p w14:paraId="45EFE271" w14:textId="77777777" w:rsidR="00030E7E" w:rsidRPr="00B35339" w:rsidRDefault="00030E7E" w:rsidP="00DD11D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BAAE6F" w14:textId="4FA84600" w:rsidR="001433DB" w:rsidRPr="00B35339" w:rsidRDefault="001433DB" w:rsidP="00DD11DD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35339">
        <w:rPr>
          <w:rFonts w:ascii="Times New Roman" w:hAnsi="Times New Roman" w:cs="Times New Roman"/>
          <w:kern w:val="0"/>
          <w:sz w:val="24"/>
          <w:szCs w:val="24"/>
        </w:rPr>
        <w:t>Wykonanie uchwały powierza się Zarządowi Województwa Kujawsko-Pomorskiego.</w:t>
      </w:r>
    </w:p>
    <w:p w14:paraId="1A102DD8" w14:textId="77777777" w:rsidR="00F33763" w:rsidRPr="00B35339" w:rsidRDefault="00F33763" w:rsidP="00DD11D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C29DFF9" w14:textId="05925149" w:rsidR="002D563E" w:rsidRPr="00B35339" w:rsidRDefault="001433DB" w:rsidP="00DD11DD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35339">
        <w:rPr>
          <w:rFonts w:ascii="Times New Roman" w:hAnsi="Times New Roman" w:cs="Times New Roman"/>
          <w:kern w:val="0"/>
          <w:sz w:val="24"/>
          <w:szCs w:val="24"/>
        </w:rPr>
        <w:t>Uchwała wchodzi w życie z dniem podjęcia.</w:t>
      </w:r>
    </w:p>
    <w:p w14:paraId="7D06DDA2" w14:textId="77777777" w:rsidR="00890E53" w:rsidRDefault="00890E53" w:rsidP="00DD11DD">
      <w:pPr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20BB634C" w14:textId="77777777" w:rsidR="00890E53" w:rsidRDefault="00890E53" w:rsidP="00DD11DD">
      <w:pPr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72016AAA" w14:textId="77777777" w:rsidR="00890E53" w:rsidRDefault="00890E53" w:rsidP="00DD11DD">
      <w:pPr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2210275" w14:textId="77777777" w:rsidR="00890E53" w:rsidRDefault="00890E53" w:rsidP="00DD11DD">
      <w:pPr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4F7BD47F" w14:textId="77777777" w:rsidR="00890E53" w:rsidRDefault="00890E53" w:rsidP="00DD11DD">
      <w:pPr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2F15EE93" w14:textId="77777777" w:rsidR="00890E53" w:rsidRDefault="00890E53" w:rsidP="00DD11DD">
      <w:pPr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C32F86E" w14:textId="77777777" w:rsidR="00890E53" w:rsidRDefault="00890E53" w:rsidP="00DD11DD">
      <w:pPr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FFDBB92" w14:textId="77777777" w:rsidR="00890E53" w:rsidRDefault="00890E53" w:rsidP="00DD11DD">
      <w:pPr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55B66A6" w14:textId="77777777" w:rsidR="00890E53" w:rsidRDefault="00890E53" w:rsidP="00DD11DD">
      <w:pPr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2D932129" w14:textId="77777777" w:rsidR="00890E53" w:rsidRDefault="00890E53" w:rsidP="00DD11DD">
      <w:pPr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4A5D24B1" w14:textId="77777777" w:rsidR="00890E53" w:rsidRDefault="00890E53" w:rsidP="00DD11DD">
      <w:pPr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4A4E9581" w14:textId="2A7184BB" w:rsidR="001433DB" w:rsidRPr="003C6D5C" w:rsidRDefault="001433DB" w:rsidP="00DD11DD">
      <w:pPr>
        <w:spacing w:after="12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3C6D5C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lastRenderedPageBreak/>
        <w:t>UZASADNIENIE</w:t>
      </w:r>
    </w:p>
    <w:p w14:paraId="7BB95154" w14:textId="77777777" w:rsidR="001433DB" w:rsidRPr="003C6D5C" w:rsidRDefault="001433DB" w:rsidP="00DD11DD">
      <w:pPr>
        <w:autoSpaceDE w:val="0"/>
        <w:autoSpaceDN w:val="0"/>
        <w:adjustRightInd w:val="0"/>
        <w:spacing w:after="12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3C6D5C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1. Przedmiot regulacji:</w:t>
      </w:r>
    </w:p>
    <w:p w14:paraId="7C670A5D" w14:textId="62896276" w:rsidR="00030E7E" w:rsidRPr="003C6D5C" w:rsidRDefault="001433DB" w:rsidP="00DD11DD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3C6D5C">
        <w:rPr>
          <w:rFonts w:ascii="TimesNewRomanPSMT" w:hAnsi="TimesNewRomanPSMT" w:cs="TimesNewRomanPSMT"/>
          <w:kern w:val="0"/>
          <w:sz w:val="24"/>
          <w:szCs w:val="24"/>
        </w:rPr>
        <w:t xml:space="preserve">Zakres regulacji dotyczy przyjęcia projektu uchwały </w:t>
      </w:r>
      <w:r w:rsidR="00030E7E">
        <w:rPr>
          <w:rFonts w:ascii="TimesNewRomanPSMT" w:hAnsi="TimesNewRomanPSMT" w:cs="TimesNewRomanPSMT"/>
          <w:kern w:val="0"/>
          <w:sz w:val="24"/>
          <w:szCs w:val="24"/>
        </w:rPr>
        <w:t xml:space="preserve">zmieniającej uchwałę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w sprawie Obszaru Chronionego</w:t>
      </w:r>
      <w:r w:rsidR="00030E7E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Krajobra</w:t>
      </w:r>
      <w:r w:rsidR="00030E7E">
        <w:rPr>
          <w:rFonts w:ascii="TimesNewRomanPSMT" w:hAnsi="TimesNewRomanPSMT" w:cs="TimesNewRomanPSMT"/>
          <w:kern w:val="0"/>
          <w:sz w:val="24"/>
          <w:szCs w:val="24"/>
        </w:rPr>
        <w:t>zu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 xml:space="preserve"> Doliny Drwęcy.</w:t>
      </w:r>
    </w:p>
    <w:p w14:paraId="369ABD8B" w14:textId="77777777" w:rsidR="001433DB" w:rsidRPr="003C6D5C" w:rsidRDefault="001433DB" w:rsidP="00DD11DD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3C6D5C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2. Podstawa prawna:</w:t>
      </w:r>
    </w:p>
    <w:p w14:paraId="696656BC" w14:textId="223FE79E" w:rsidR="001433DB" w:rsidRPr="003C6D5C" w:rsidRDefault="001433DB" w:rsidP="00DD11D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C6D5C">
        <w:rPr>
          <w:rFonts w:ascii="TimesNewRomanPSMT" w:hAnsi="TimesNewRomanPSMT" w:cs="TimesNewRomanPSMT"/>
          <w:kern w:val="0"/>
          <w:sz w:val="24"/>
          <w:szCs w:val="24"/>
        </w:rPr>
        <w:t xml:space="preserve">- ustawa z dnia 16 kwietnia 2004 r. o ochronie przyrody </w:t>
      </w:r>
      <w:r w:rsidR="00F33763" w:rsidRPr="003C6D5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30E7E" w:rsidRPr="00030E7E">
        <w:rPr>
          <w:rFonts w:ascii="Times New Roman" w:hAnsi="Times New Roman" w:cs="Times New Roman"/>
          <w:color w:val="000000" w:themeColor="text1"/>
          <w:sz w:val="24"/>
          <w:szCs w:val="24"/>
        </w:rPr>
        <w:t>Dz.U. 2023 poz. 1336</w:t>
      </w:r>
      <w:r w:rsidR="00243880">
        <w:rPr>
          <w:rFonts w:ascii="Times New Roman" w:hAnsi="Times New Roman" w:cs="Times New Roman"/>
          <w:color w:val="000000" w:themeColor="text1"/>
          <w:sz w:val="24"/>
          <w:szCs w:val="24"/>
        </w:rPr>
        <w:t>, 1688 i 1890</w:t>
      </w:r>
      <w:r w:rsidR="00F33763" w:rsidRPr="003C6D5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C6D5C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78E91D20" w14:textId="7A8231D1" w:rsidR="001433DB" w:rsidRPr="003C6D5C" w:rsidRDefault="001433DB" w:rsidP="00DD11D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3C6D5C">
        <w:rPr>
          <w:rFonts w:ascii="TimesNewRomanPSMT" w:hAnsi="TimesNewRomanPSMT" w:cs="TimesNewRomanPSMT"/>
          <w:kern w:val="0"/>
          <w:sz w:val="24"/>
          <w:szCs w:val="24"/>
        </w:rPr>
        <w:t>Art. 23. 2. Wyznaczenie obszaru chronionego krajobrazu następuje w drodze uchwały</w:t>
      </w:r>
      <w:r w:rsidR="00030E7E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sejmiku województwa, która określa jego nazwę, położenie, obszar, sprawującego nadzór,</w:t>
      </w:r>
      <w:r w:rsidR="00030E7E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ustalenia dotyczące czynnej ochrony ekosystemów oraz zakazy właściwe dla danego obszaru</w:t>
      </w:r>
      <w:r w:rsidR="00030E7E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 xml:space="preserve">chronionego krajobrazu lub jego części, wybrane spośród zakazów wymienionych 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br/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w art. 24</w:t>
      </w:r>
      <w:r w:rsidR="00030E7E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ust. 1, wynikające z potrzeb jego ochrony. Likwidacja lub zmniejszenie obszaru chronionego</w:t>
      </w:r>
      <w:r w:rsidR="00030E7E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 xml:space="preserve">krajobrazu następuje w drodze uchwały sejmiku województwa, wyłącznie 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br/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z powodu</w:t>
      </w:r>
      <w:r w:rsidR="00030E7E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bezpowrotnej utraty wyróżniającego się krajobrazu o zróżnicowanych ekosystemach</w:t>
      </w:r>
      <w:r w:rsidR="00030E7E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i możliwości zaspokajania potrzeb związanych z turystyką i wypoczynkiem.</w:t>
      </w:r>
    </w:p>
    <w:p w14:paraId="6563C308" w14:textId="4B934147" w:rsidR="00DD3781" w:rsidRPr="003C6D5C" w:rsidRDefault="001433DB" w:rsidP="00DD11DD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3C6D5C">
        <w:rPr>
          <w:rFonts w:ascii="TimesNewRomanPSMT" w:hAnsi="TimesNewRomanPSMT" w:cs="TimesNewRomanPSMT"/>
          <w:kern w:val="0"/>
          <w:sz w:val="24"/>
          <w:szCs w:val="24"/>
        </w:rPr>
        <w:t>3. Projekty uchwał sejmiku województwa, o których mowa w ust. 2, wymagają uzgodnienia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br/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z właściwą miejscowo radą gminy oraz właściwym regionalnym dyrektorem ochrony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środowiska.</w:t>
      </w:r>
    </w:p>
    <w:p w14:paraId="43D38A91" w14:textId="77777777" w:rsidR="001433DB" w:rsidRPr="003C6D5C" w:rsidRDefault="001433DB" w:rsidP="00DD11DD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3C6D5C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3. Konsultacje wymagane przepisami prawa (łącznie z przepisami wewnętrznymi):</w:t>
      </w:r>
    </w:p>
    <w:p w14:paraId="65E757F2" w14:textId="02AED39E" w:rsidR="001433DB" w:rsidRDefault="001433DB" w:rsidP="00DD11D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3C6D5C">
        <w:rPr>
          <w:rFonts w:ascii="TimesNewRomanPSMT" w:hAnsi="TimesNewRomanPSMT" w:cs="TimesNewRomanPSMT"/>
          <w:kern w:val="0"/>
          <w:sz w:val="24"/>
          <w:szCs w:val="24"/>
        </w:rPr>
        <w:t>Zgodnie z art. 23 ust. 3 ustawy o ochronie przyrody, projekt uchwały, stanowiący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załącznik do niniejszej uchwały, zostanie przedstawiony Radzie Gminy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Bartniczka, Radzie Gminy Brodnica, Radzie Miejskiej w Brodnicy, Radzie Gminy Brzozie,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Radzie Gminy Ciechocin, Radzie Gminy Dębowa Łąka, Radzie Miejskiej w Górznie, Radzie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Gminy Golub-Dobrzyń, Radzie Miasta Golubia-Dobrzynia, Radzie Miejskiej Jabłonowa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Pomorskiego, Radzie Miejskiej w Kowalewie Pomorskim, Radzie Gminy Lubicz, Radzie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Gminy Łysomice, Radzie Gminy Obrowo, Radzie Gminy Osiek, Radzie Gminy Radomin,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Radzie Miasta Torunia, Radzie Gminy Wąpielsk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>,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 xml:space="preserve"> Radzie Gminy Zbiczno, Radzie Gminy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C6D5C">
        <w:rPr>
          <w:rFonts w:ascii="TimesNewRomanPSMT" w:hAnsi="TimesNewRomanPSMT" w:cs="TimesNewRomanPSMT"/>
          <w:kern w:val="0"/>
          <w:sz w:val="24"/>
          <w:szCs w:val="24"/>
        </w:rPr>
        <w:t>Bobrowo oraz Regionalnemu Dyrektorowi Ochrony Środowiska w Bydgoszczy w celu jego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uzgodnienia.</w:t>
      </w:r>
    </w:p>
    <w:p w14:paraId="27934D74" w14:textId="6B3C16A9" w:rsidR="00F05372" w:rsidRPr="00243880" w:rsidRDefault="00650758" w:rsidP="00DD11DD">
      <w:pPr>
        <w:pStyle w:val="Bezodstpw"/>
        <w:spacing w:after="120"/>
        <w:jc w:val="both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  <w:r w:rsidRPr="005155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Poprzedni projekt uchwały</w:t>
      </w:r>
      <w:r w:rsidRPr="005155C2">
        <w:rPr>
          <w:rFonts w:ascii="Times New Roman" w:hAnsi="Times New Roman"/>
          <w:sz w:val="24"/>
          <w:szCs w:val="24"/>
        </w:rPr>
        <w:t xml:space="preserve"> Nr XXXV/514/21 Sejmiku Województwa </w:t>
      </w:r>
      <w:r w:rsidR="00DD3781">
        <w:rPr>
          <w:rFonts w:ascii="Times New Roman" w:hAnsi="Times New Roman"/>
          <w:sz w:val="24"/>
          <w:szCs w:val="24"/>
        </w:rPr>
        <w:t xml:space="preserve"> </w:t>
      </w:r>
      <w:r w:rsidRPr="005155C2">
        <w:rPr>
          <w:rFonts w:ascii="Times New Roman" w:hAnsi="Times New Roman"/>
          <w:sz w:val="24"/>
          <w:szCs w:val="24"/>
        </w:rPr>
        <w:t>Kujawsko-Pomorskiego</w:t>
      </w:r>
      <w:r w:rsidR="00DD3781">
        <w:rPr>
          <w:rFonts w:ascii="Times New Roman" w:hAnsi="Times New Roman"/>
          <w:sz w:val="24"/>
          <w:szCs w:val="24"/>
        </w:rPr>
        <w:t xml:space="preserve"> </w:t>
      </w:r>
      <w:r w:rsidRPr="005155C2">
        <w:rPr>
          <w:rFonts w:ascii="Times New Roman" w:hAnsi="Times New Roman"/>
          <w:sz w:val="24"/>
          <w:szCs w:val="24"/>
        </w:rPr>
        <w:t>z dnia 30 sierpnia 2021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261">
        <w:rPr>
          <w:rFonts w:ascii="Times New Roman" w:hAnsi="Times New Roman"/>
          <w:sz w:val="24"/>
          <w:szCs w:val="24"/>
        </w:rPr>
        <w:t>zmieniającej uchwalę Nr XXXVIII/656/17 Sejmiku Województwa</w:t>
      </w:r>
      <w:r w:rsidR="00DD3781">
        <w:rPr>
          <w:rFonts w:ascii="Times New Roman" w:hAnsi="Times New Roman"/>
          <w:sz w:val="24"/>
          <w:szCs w:val="24"/>
        </w:rPr>
        <w:t xml:space="preserve"> </w:t>
      </w:r>
      <w:r w:rsidRPr="00914261">
        <w:rPr>
          <w:rFonts w:ascii="Times New Roman" w:hAnsi="Times New Roman"/>
          <w:sz w:val="24"/>
          <w:szCs w:val="24"/>
        </w:rPr>
        <w:t>Kujawsko-Pomorskiego z dnia 27 listopada 2017 r. w sprawie Obszaru Chronionego</w:t>
      </w:r>
      <w:r w:rsidR="00DD3781">
        <w:rPr>
          <w:rFonts w:ascii="Times New Roman" w:hAnsi="Times New Roman"/>
          <w:sz w:val="24"/>
          <w:szCs w:val="24"/>
        </w:rPr>
        <w:t xml:space="preserve"> </w:t>
      </w:r>
      <w:r w:rsidRPr="00914261">
        <w:rPr>
          <w:rFonts w:ascii="Times New Roman" w:hAnsi="Times New Roman"/>
          <w:sz w:val="24"/>
          <w:szCs w:val="24"/>
        </w:rPr>
        <w:t>Krajobrazu Doliny Drwęcy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261">
        <w:rPr>
          <w:rFonts w:ascii="Times New Roman" w:hAnsi="Times New Roman"/>
          <w:sz w:val="24"/>
          <w:szCs w:val="24"/>
        </w:rPr>
        <w:t>(Dz. Urz. Woj. Kujawsko-Pomorskiego, poz. 4982)</w:t>
      </w:r>
      <w:r>
        <w:rPr>
          <w:rFonts w:ascii="Times New Roman" w:hAnsi="Times New Roman"/>
          <w:sz w:val="24"/>
          <w:szCs w:val="24"/>
        </w:rPr>
        <w:t>, nie uzyskał</w:t>
      </w:r>
      <w:r w:rsidR="00DD3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ustawowego uzgodnienia </w:t>
      </w:r>
      <w:r w:rsidRPr="00243880">
        <w:rPr>
          <w:rFonts w:ascii="Times New Roman" w:hAnsi="Times New Roman"/>
          <w:color w:val="000000" w:themeColor="text1"/>
          <w:sz w:val="24"/>
          <w:szCs w:val="24"/>
        </w:rPr>
        <w:t>Regionalnego Dyrektora Ochrony Środowiska w Bydgoszczy</w:t>
      </w:r>
      <w:r w:rsidR="00DD3781" w:rsidRPr="002438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(postanowienie z dnia 12 października 2021 r.) oraz </w:t>
      </w:r>
      <w:r w:rsidRPr="00243880">
        <w:rPr>
          <w:rFonts w:ascii="Times New Roman" w:hAnsi="Times New Roman"/>
          <w:color w:val="000000" w:themeColor="text1"/>
          <w:sz w:val="24"/>
          <w:szCs w:val="24"/>
        </w:rPr>
        <w:t>Rady Miasta Torunia, Rady Gminy</w:t>
      </w:r>
      <w:r w:rsidR="00DD3781" w:rsidRPr="002438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43880">
        <w:rPr>
          <w:rFonts w:ascii="Times New Roman" w:hAnsi="Times New Roman"/>
          <w:color w:val="000000" w:themeColor="text1"/>
          <w:sz w:val="24"/>
          <w:szCs w:val="24"/>
        </w:rPr>
        <w:t>Zbiczno i Rady Gminy Łysomice.</w:t>
      </w:r>
      <w:r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45C14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Przewodniczący </w:t>
      </w:r>
      <w:r w:rsidR="006201D5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wymienionych trzech </w:t>
      </w:r>
      <w:r w:rsidR="00D534CB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rady gmin </w:t>
      </w:r>
      <w:r w:rsidR="00645C14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nie udzieli</w:t>
      </w:r>
      <w:r w:rsidR="00D534CB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li</w:t>
      </w:r>
      <w:r w:rsidR="00645C14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odpowiedzi w ogóle, albo nie przedstawi</w:t>
      </w:r>
      <w:r w:rsidR="00D534CB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li</w:t>
      </w:r>
      <w:r w:rsidR="00645C14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uzasadnienia do nieuzgodnienia </w:t>
      </w:r>
      <w:r w:rsidR="00D534CB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przez radę gminy </w:t>
      </w:r>
      <w:r w:rsidR="00645C14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projektu uchwały </w:t>
      </w:r>
      <w:r w:rsidR="00D534CB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Sejmiku, </w:t>
      </w:r>
      <w:r w:rsidR="006201D5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 oparciu o</w:t>
      </w:r>
      <w:r w:rsidR="00645C14" w:rsidRPr="002438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34CB" w:rsidRPr="00243880">
        <w:rPr>
          <w:rFonts w:ascii="Times New Roman" w:hAnsi="Times New Roman"/>
          <w:color w:val="000000" w:themeColor="text1"/>
          <w:sz w:val="24"/>
          <w:szCs w:val="24"/>
        </w:rPr>
        <w:t xml:space="preserve">art. 23 a ust. 7 </w:t>
      </w:r>
      <w:r w:rsidR="00D534CB" w:rsidRPr="00243880">
        <w:rPr>
          <w:rFonts w:ascii="Times New Roman" w:hAnsi="Times New Roman"/>
          <w:bCs/>
          <w:color w:val="000000" w:themeColor="text1"/>
          <w:sz w:val="24"/>
          <w:szCs w:val="24"/>
        </w:rPr>
        <w:t>ustawy z dnia 16 kwietnia 2004 r. o ochronie przyrody</w:t>
      </w:r>
      <w:r w:rsidR="00D534CB" w:rsidRPr="0024388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45C14" w:rsidRPr="002438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534CB" w:rsidRPr="00243880">
        <w:rPr>
          <w:rFonts w:ascii="Times New Roman" w:hAnsi="Times New Roman"/>
          <w:color w:val="000000" w:themeColor="text1"/>
          <w:sz w:val="24"/>
          <w:szCs w:val="24"/>
        </w:rPr>
        <w:t xml:space="preserve">Art. 23 a ust. 7 zawiera przesłanki, które obligatoryjnie muszą być spełnione, </w:t>
      </w:r>
      <w:r w:rsidR="006201D5" w:rsidRPr="0024388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534CB" w:rsidRPr="00243880">
        <w:rPr>
          <w:rFonts w:ascii="Times New Roman" w:hAnsi="Times New Roman"/>
          <w:color w:val="000000" w:themeColor="text1"/>
          <w:sz w:val="24"/>
          <w:szCs w:val="24"/>
        </w:rPr>
        <w:t xml:space="preserve">by rada gminy mogła, w świetle obowiązujących przepisów, odmówić uzgodnienia projektu uchwały sejmiku </w:t>
      </w:r>
      <w:r w:rsidR="006201D5" w:rsidRPr="00243880">
        <w:rPr>
          <w:rFonts w:ascii="Times New Roman" w:hAnsi="Times New Roman"/>
          <w:color w:val="000000" w:themeColor="text1"/>
          <w:sz w:val="24"/>
          <w:szCs w:val="24"/>
        </w:rPr>
        <w:t>województwa</w:t>
      </w:r>
      <w:r w:rsidR="00D534CB" w:rsidRPr="00243880">
        <w:rPr>
          <w:rFonts w:ascii="Times New Roman" w:hAnsi="Times New Roman"/>
          <w:color w:val="000000" w:themeColor="text1"/>
          <w:sz w:val="24"/>
          <w:szCs w:val="24"/>
        </w:rPr>
        <w:t xml:space="preserve"> sprawie wyznaczenia bądź zmiany obszaru chronionego krajobrazu.</w:t>
      </w:r>
      <w:r w:rsidRPr="002438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2372DC1" w14:textId="21D9A787" w:rsidR="001433DB" w:rsidRPr="007666F3" w:rsidRDefault="001433DB" w:rsidP="00DD11DD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7666F3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4. Uzasadnienie merytoryczne:</w:t>
      </w:r>
    </w:p>
    <w:p w14:paraId="7F17BCF3" w14:textId="7B3E3160" w:rsidR="007666F3" w:rsidRPr="00243880" w:rsidRDefault="001433DB" w:rsidP="00DD11D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</w:pPr>
      <w:r w:rsidRPr="007666F3">
        <w:rPr>
          <w:rFonts w:ascii="TimesNewRomanPSMT" w:hAnsi="TimesNewRomanPSMT" w:cs="TimesNewRomanPSMT"/>
          <w:kern w:val="0"/>
          <w:sz w:val="24"/>
          <w:szCs w:val="24"/>
        </w:rPr>
        <w:t>Samorząd Województwa Kujawsko-Pomorskiego, zgodnie z ustawą z dnia 23 stycznia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2009 r. o zmianie niektórych ustaw w związku ze zmianami w organizacji i podziale zadań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administracji publicznej w województwie (Dz. U. Nr 92 poz.753, ze zm.), z dniem 1 sierpnia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2009 r. przejął kompetencje w zakresie obszarów chronionego krajobrazu. Jak wynika z art.</w:t>
      </w:r>
      <w:r w:rsidR="00DD378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 xml:space="preserve">23 ust. 1 ustawy z dnia 16 kwietnia 2004 r. o ochronie </w:t>
      </w:r>
      <w:r w:rsidRPr="007666F3">
        <w:rPr>
          <w:rFonts w:ascii="Times New Roman" w:hAnsi="Times New Roman" w:cs="Times New Roman"/>
          <w:kern w:val="0"/>
          <w:sz w:val="24"/>
          <w:szCs w:val="24"/>
        </w:rPr>
        <w:t xml:space="preserve">przyrody </w:t>
      </w:r>
      <w:r w:rsidR="00F33763" w:rsidRPr="007666F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B3BF2" w:rsidRPr="00030E7E">
        <w:rPr>
          <w:rFonts w:ascii="Times New Roman" w:hAnsi="Times New Roman" w:cs="Times New Roman"/>
          <w:color w:val="000000" w:themeColor="text1"/>
          <w:sz w:val="24"/>
          <w:szCs w:val="24"/>
        </w:rPr>
        <w:t>Dz.U. 2023 poz. 1336</w:t>
      </w:r>
      <w:r w:rsidR="00F33763" w:rsidRPr="007666F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666F3">
        <w:rPr>
          <w:rFonts w:ascii="Times New Roman" w:hAnsi="Times New Roman" w:cs="Times New Roman"/>
          <w:kern w:val="0"/>
          <w:sz w:val="24"/>
          <w:szCs w:val="24"/>
        </w:rPr>
        <w:t>,</w:t>
      </w:r>
      <w:r w:rsidR="00F33763" w:rsidRPr="007666F3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obszar chronionego krajobrazu obejmuje tereny chronione ze względu na wyróżniający się</w:t>
      </w:r>
      <w:r w:rsidR="00F33763" w:rsidRPr="007666F3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krajobraz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o zróżnicowanych ekosystemach, wartościowe ze względu na możliwość</w:t>
      </w:r>
      <w:r w:rsidR="00F33763" w:rsidRPr="007666F3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zaspokajania potrzeb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lastRenderedPageBreak/>
        <w:t>związanych z turystyką i wypoczynkiem lub pełnioną funkcją korytarzy</w:t>
      </w:r>
      <w:r w:rsidR="00F33763" w:rsidRPr="007666F3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ekologicznych.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Obszar Chronionego Krajobrazu Doliny Drwęcy powołano rozporządzeniem nr 21/92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Wojewody Toruńskiego z 10.12.1992 r. w sprawie wyznaczenia obszarów chronionego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 xml:space="preserve">krajobrazu 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br/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w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województwie toruńskim oraz reorganizacji zarządzania parkami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 xml:space="preserve">krajobrazowymi 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br/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 xml:space="preserve">i obszarami chronionego krajobrazu. </w:t>
      </w:r>
      <w:r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Obecnie obowiązuje uchwała</w:t>
      </w:r>
      <w:r w:rsidR="000B3BF2"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</w:t>
      </w:r>
      <w:r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Nr XXXVIII/656/17 Sejmiku Województwa Kujawsko-Pomorskiego z dnia 27 listopada</w:t>
      </w:r>
      <w:r w:rsidR="000B3BF2"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</w:t>
      </w:r>
      <w:r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2017 r. w sprawie Obszaru Chronionego Krajobrazu Doliny Drwęcy (Dz. Urz. Województwa</w:t>
      </w:r>
      <w:r w:rsidR="000B3BF2"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</w:t>
      </w:r>
      <w:r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Kujawsko-Pomorskiego, poz. 4982).</w:t>
      </w:r>
      <w:r w:rsidR="000B3BF2"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</w:t>
      </w:r>
      <w:r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W 2019 r. przeprowadzono weryfikację, pod kątem przyrodniczym, terenów</w:t>
      </w:r>
      <w:r w:rsidR="000B3BF2"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</w:t>
      </w:r>
      <w:r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obejmujących Obszar Chronionego Krajobrazu Doliny Drwęcy, która dodatkowo w 2020 r.</w:t>
      </w:r>
      <w:r w:rsidR="000B3BF2"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</w:t>
      </w:r>
      <w:r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została wsparta opinią ekspercką. W wyniku tych działań, po uwzględnieniu również części</w:t>
      </w:r>
      <w:r w:rsidR="000B3BF2"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</w:t>
      </w:r>
      <w:r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wniosków gmin, stało się zasadne podjęcie prac nad przedmiotowym aktem</w:t>
      </w:r>
      <w:r w:rsidR="007666F3"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 xml:space="preserve"> </w:t>
      </w:r>
      <w:r w:rsidRPr="00243880">
        <w:rPr>
          <w:rFonts w:ascii="TimesNewRomanPSMT" w:hAnsi="TimesNewRomanPSMT" w:cs="TimesNewRomanPSMT"/>
          <w:color w:val="000000" w:themeColor="text1"/>
          <w:kern w:val="0"/>
          <w:sz w:val="24"/>
          <w:szCs w:val="24"/>
        </w:rPr>
        <w:t>prawnym.</w:t>
      </w:r>
    </w:p>
    <w:p w14:paraId="0F7C554A" w14:textId="77777777" w:rsidR="001433DB" w:rsidRPr="007666F3" w:rsidRDefault="001433DB" w:rsidP="00DD11DD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7666F3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5. Ocena skutków regulacji:</w:t>
      </w:r>
    </w:p>
    <w:p w14:paraId="1DBDE983" w14:textId="48137E17" w:rsidR="001433DB" w:rsidRDefault="001433DB" w:rsidP="00DD11DD">
      <w:pPr>
        <w:autoSpaceDE w:val="0"/>
        <w:autoSpaceDN w:val="0"/>
        <w:adjustRightInd w:val="0"/>
        <w:spacing w:after="120" w:line="240" w:lineRule="auto"/>
        <w:ind w:firstLine="708"/>
        <w:jc w:val="both"/>
      </w:pPr>
      <w:r w:rsidRPr="007666F3">
        <w:rPr>
          <w:rFonts w:ascii="TimesNewRomanPSMT" w:hAnsi="TimesNewRomanPSMT" w:cs="TimesNewRomanPSMT"/>
          <w:kern w:val="0"/>
          <w:sz w:val="24"/>
          <w:szCs w:val="24"/>
        </w:rPr>
        <w:t xml:space="preserve">Przyjęcie projektu uchwały 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t xml:space="preserve">zmieniającej uchwałę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w sprawie Obszaru Chronionego Krajobrazu Doliny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Drwęcy umożliwi, zgodne z zapisem ustawowym, przedstawienie projektu właściwym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miejscowo radom gmin oraz właściwemu terytorialnie regionalnemu dyrektorowi ochrony</w:t>
      </w:r>
      <w:r w:rsidR="000B3BF2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7666F3">
        <w:rPr>
          <w:rFonts w:ascii="TimesNewRomanPSMT" w:hAnsi="TimesNewRomanPSMT" w:cs="TimesNewRomanPSMT"/>
          <w:kern w:val="0"/>
          <w:sz w:val="24"/>
          <w:szCs w:val="24"/>
        </w:rPr>
        <w:t>środowiska w celu uzgodnienia.</w:t>
      </w:r>
    </w:p>
    <w:sectPr w:rsidR="001433DB" w:rsidSect="00DD11DD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6191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61"/>
    <w:rsid w:val="00030E7E"/>
    <w:rsid w:val="000B3BF2"/>
    <w:rsid w:val="00112303"/>
    <w:rsid w:val="001433DB"/>
    <w:rsid w:val="001E0B54"/>
    <w:rsid w:val="00243880"/>
    <w:rsid w:val="002D563E"/>
    <w:rsid w:val="003C6D5C"/>
    <w:rsid w:val="004D5807"/>
    <w:rsid w:val="00533001"/>
    <w:rsid w:val="006201D5"/>
    <w:rsid w:val="00645C14"/>
    <w:rsid w:val="00650758"/>
    <w:rsid w:val="00702C76"/>
    <w:rsid w:val="007666F3"/>
    <w:rsid w:val="00890E53"/>
    <w:rsid w:val="00B35339"/>
    <w:rsid w:val="00B54A5A"/>
    <w:rsid w:val="00BB4AAB"/>
    <w:rsid w:val="00C55D0C"/>
    <w:rsid w:val="00D0068F"/>
    <w:rsid w:val="00D534CB"/>
    <w:rsid w:val="00DD11DD"/>
    <w:rsid w:val="00DD3781"/>
    <w:rsid w:val="00E91B61"/>
    <w:rsid w:val="00EE1470"/>
    <w:rsid w:val="00F05372"/>
    <w:rsid w:val="00F3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74C7"/>
  <w15:chartTrackingRefBased/>
  <w15:docId w15:val="{7FFA0C8E-43EB-45EE-A0DD-EA04B3B7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0E7E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0"/>
      <w:sz w:val="20"/>
      <w:szCs w:val="20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075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030E7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0E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E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E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0E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0E7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030E7E"/>
    <w:rPr>
      <w:rFonts w:ascii="Arial" w:eastAsia="Times New Roman" w:hAnsi="Arial" w:cs="Times New Roman"/>
      <w:b/>
      <w:kern w:val="0"/>
      <w:sz w:val="20"/>
      <w:szCs w:val="20"/>
      <w:lang w:val="x-none" w:eastAsia="x-none"/>
      <w14:ligatures w14:val="none"/>
    </w:rPr>
  </w:style>
  <w:style w:type="paragraph" w:styleId="Tytu">
    <w:name w:val="Title"/>
    <w:basedOn w:val="Normalny"/>
    <w:link w:val="TytuZnak"/>
    <w:qFormat/>
    <w:rsid w:val="00030E7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character" w:customStyle="1" w:styleId="TytuZnak">
    <w:name w:val="Tytuł Znak"/>
    <w:basedOn w:val="Domylnaczcionkaakapitu"/>
    <w:link w:val="Tytu"/>
    <w:rsid w:val="00030E7E"/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Anna Sobierajska</cp:lastModifiedBy>
  <cp:revision>3</cp:revision>
  <cp:lastPrinted>2023-11-08T07:21:00Z</cp:lastPrinted>
  <dcterms:created xsi:type="dcterms:W3CDTF">2023-11-17T10:40:00Z</dcterms:created>
  <dcterms:modified xsi:type="dcterms:W3CDTF">2023-11-17T10:41:00Z</dcterms:modified>
</cp:coreProperties>
</file>