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E87860">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57D4E817" w14:textId="513C46D7" w:rsidR="008C0B2C" w:rsidRPr="00BE5CDE" w:rsidRDefault="00E87860">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1DD8AD00" w14:textId="75BF2204" w:rsidR="008C0B2C" w:rsidRPr="00BE5CDE" w:rsidRDefault="00E87860">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6</w:t>
        </w:r>
        <w:r w:rsidR="008C0B2C" w:rsidRPr="00BE5CDE">
          <w:rPr>
            <w:noProof/>
            <w:webHidden/>
            <w:color w:val="000000" w:themeColor="text1"/>
          </w:rPr>
          <w:fldChar w:fldCharType="end"/>
        </w:r>
      </w:hyperlink>
    </w:p>
    <w:p w14:paraId="1C718908" w14:textId="2D29A4B9" w:rsidR="008C0B2C" w:rsidRPr="00BE5CDE" w:rsidRDefault="00E87860">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7</w:t>
        </w:r>
        <w:r w:rsidR="008C0B2C" w:rsidRPr="00BE5CDE">
          <w:rPr>
            <w:noProof/>
            <w:webHidden/>
            <w:color w:val="000000" w:themeColor="text1"/>
          </w:rPr>
          <w:fldChar w:fldCharType="end"/>
        </w:r>
      </w:hyperlink>
    </w:p>
    <w:p w14:paraId="4AA2BBF1" w14:textId="1EEEE2CD" w:rsidR="008C0B2C" w:rsidRPr="00BE5CDE" w:rsidRDefault="00E87860">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10</w:t>
        </w:r>
        <w:r w:rsidR="008C0B2C" w:rsidRPr="00BE5CDE">
          <w:rPr>
            <w:noProof/>
            <w:webHidden/>
            <w:color w:val="000000" w:themeColor="text1"/>
          </w:rPr>
          <w:fldChar w:fldCharType="end"/>
        </w:r>
      </w:hyperlink>
    </w:p>
    <w:p w14:paraId="6010E3B1" w14:textId="253EC73A" w:rsidR="008C0B2C" w:rsidRPr="00BE5CDE" w:rsidRDefault="00E87860">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02FBE0A9" w14:textId="33797A49" w:rsidR="008C0B2C" w:rsidRPr="00BE5CDE" w:rsidRDefault="00E87860">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13E66154" w14:textId="563973E7" w:rsidR="008C0B2C" w:rsidRPr="00BE5CDE" w:rsidRDefault="00E87860">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13</w:t>
        </w:r>
        <w:r w:rsidR="008C0B2C" w:rsidRPr="00BE5CDE">
          <w:rPr>
            <w:noProof/>
            <w:webHidden/>
            <w:color w:val="000000" w:themeColor="text1"/>
          </w:rPr>
          <w:fldChar w:fldCharType="end"/>
        </w:r>
      </w:hyperlink>
    </w:p>
    <w:p w14:paraId="08309442" w14:textId="082E4B2F" w:rsidR="008C0B2C" w:rsidRPr="00BE5CDE" w:rsidRDefault="00E87860">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15</w:t>
        </w:r>
        <w:r w:rsidR="008C0B2C" w:rsidRPr="00BE5CDE">
          <w:rPr>
            <w:noProof/>
            <w:webHidden/>
            <w:color w:val="000000" w:themeColor="text1"/>
          </w:rPr>
          <w:fldChar w:fldCharType="end"/>
        </w:r>
      </w:hyperlink>
    </w:p>
    <w:p w14:paraId="4AB4700F" w14:textId="6BFA8C54" w:rsidR="008C0B2C" w:rsidRPr="00BE5CDE" w:rsidRDefault="00E87860">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16</w:t>
        </w:r>
        <w:r w:rsidR="008C0B2C" w:rsidRPr="00BE5CDE">
          <w:rPr>
            <w:noProof/>
            <w:webHidden/>
            <w:color w:val="000000" w:themeColor="text1"/>
          </w:rPr>
          <w:fldChar w:fldCharType="end"/>
        </w:r>
      </w:hyperlink>
    </w:p>
    <w:p w14:paraId="073BBF40" w14:textId="0EB67A92" w:rsidR="008C0B2C" w:rsidRPr="00BE5CDE" w:rsidRDefault="00E87860">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17</w:t>
        </w:r>
        <w:r w:rsidR="008C0B2C" w:rsidRPr="00BE5CDE">
          <w:rPr>
            <w:noProof/>
            <w:webHidden/>
            <w:color w:val="000000" w:themeColor="text1"/>
          </w:rPr>
          <w:fldChar w:fldCharType="end"/>
        </w:r>
      </w:hyperlink>
    </w:p>
    <w:p w14:paraId="1A24BEE3" w14:textId="71C0BFE2" w:rsidR="008C0B2C" w:rsidRPr="00BE5CDE" w:rsidRDefault="00E87860">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0EBBCCA1" w14:textId="6877E568" w:rsidR="008C0B2C" w:rsidRPr="00BE5CDE" w:rsidRDefault="00E87860">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55A5FEE0" w14:textId="519CF0A4" w:rsidR="008C0B2C" w:rsidRPr="00BE5CDE" w:rsidRDefault="00E87860">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19</w:t>
        </w:r>
        <w:r w:rsidR="008C0B2C" w:rsidRPr="00BE5CDE">
          <w:rPr>
            <w:noProof/>
            <w:webHidden/>
            <w:color w:val="000000" w:themeColor="text1"/>
          </w:rPr>
          <w:fldChar w:fldCharType="end"/>
        </w:r>
      </w:hyperlink>
    </w:p>
    <w:p w14:paraId="5C2FAEAA" w14:textId="77D684AE" w:rsidR="008C0B2C" w:rsidRPr="00BE5CDE" w:rsidRDefault="00E87860">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22</w:t>
        </w:r>
        <w:r w:rsidR="008C0B2C" w:rsidRPr="00BE5CDE">
          <w:rPr>
            <w:noProof/>
            <w:webHidden/>
            <w:color w:val="000000" w:themeColor="text1"/>
          </w:rPr>
          <w:fldChar w:fldCharType="end"/>
        </w:r>
      </w:hyperlink>
    </w:p>
    <w:p w14:paraId="2C4CA10D" w14:textId="62B597BF" w:rsidR="008C0B2C" w:rsidRPr="00BE5CDE" w:rsidRDefault="00E87860">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25</w:t>
        </w:r>
        <w:r w:rsidR="008C0B2C" w:rsidRPr="00BE5CDE">
          <w:rPr>
            <w:noProof/>
            <w:webHidden/>
            <w:color w:val="000000" w:themeColor="text1"/>
          </w:rPr>
          <w:fldChar w:fldCharType="end"/>
        </w:r>
      </w:hyperlink>
    </w:p>
    <w:p w14:paraId="12CB3BC7" w14:textId="18D6429E" w:rsidR="008C0B2C" w:rsidRPr="00BE5CDE" w:rsidRDefault="00E87860">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26</w:t>
        </w:r>
        <w:r w:rsidR="008C0B2C" w:rsidRPr="00BE5CDE">
          <w:rPr>
            <w:noProof/>
            <w:webHidden/>
            <w:color w:val="000000" w:themeColor="text1"/>
          </w:rPr>
          <w:fldChar w:fldCharType="end"/>
        </w:r>
      </w:hyperlink>
    </w:p>
    <w:p w14:paraId="19C102C8" w14:textId="336C2740" w:rsidR="008C0B2C" w:rsidRPr="00BE5CDE" w:rsidRDefault="00E87860">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1C94830F" w14:textId="15D851C9" w:rsidR="008C0B2C" w:rsidRPr="00BE5CDE" w:rsidRDefault="00E87860">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0874861B" w14:textId="337757FA" w:rsidR="008C0B2C" w:rsidRPr="00BE5CDE" w:rsidRDefault="00E87860">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35558862" w14:textId="77777777" w:rsidR="006E4C50" w:rsidRDefault="006E4C50" w:rsidP="008141FC">
      <w:pPr>
        <w:spacing w:after="0" w:line="276" w:lineRule="auto"/>
        <w:rPr>
          <w:rFonts w:ascii="Arial" w:hAnsi="Arial" w:cs="Arial"/>
          <w:sz w:val="24"/>
          <w:szCs w:val="24"/>
        </w:rPr>
      </w:pPr>
    </w:p>
    <w:p w14:paraId="04AE9423" w14:textId="77777777" w:rsidR="006E4C50" w:rsidRDefault="006E4C50" w:rsidP="008141FC">
      <w:pPr>
        <w:spacing w:after="0" w:line="276" w:lineRule="auto"/>
        <w:rPr>
          <w:rFonts w:ascii="Arial" w:hAnsi="Arial" w:cs="Arial"/>
          <w:sz w:val="24"/>
          <w:szCs w:val="24"/>
        </w:rPr>
      </w:pPr>
    </w:p>
    <w:p w14:paraId="163D2E97" w14:textId="77777777" w:rsidR="006E4C50" w:rsidRDefault="006E4C50" w:rsidP="008141FC">
      <w:pPr>
        <w:spacing w:after="0" w:line="276" w:lineRule="auto"/>
        <w:rPr>
          <w:rFonts w:ascii="Arial" w:hAnsi="Arial" w:cs="Arial"/>
          <w:sz w:val="24"/>
          <w:szCs w:val="24"/>
        </w:rPr>
      </w:pPr>
    </w:p>
    <w:p w14:paraId="27CDD768" w14:textId="77777777" w:rsidR="006E4C50" w:rsidRPr="000602FB" w:rsidRDefault="006E4C50"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lastRenderedPageBreak/>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485D6BC8"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42FCB012"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lastRenderedPageBreak/>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lastRenderedPageBreak/>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w:t>
      </w:r>
      <w:r w:rsidR="00F66E5E" w:rsidRPr="000602FB">
        <w:rPr>
          <w:rFonts w:ascii="Arial" w:hAnsi="Arial" w:cs="Arial"/>
          <w:sz w:val="24"/>
          <w:szCs w:val="24"/>
        </w:rPr>
        <w:lastRenderedPageBreak/>
        <w:t xml:space="preserve">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lastRenderedPageBreak/>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72FB8943"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w:t>
      </w:r>
      <w:r w:rsidR="00FE7341" w:rsidRPr="000602FB">
        <w:rPr>
          <w:rFonts w:ascii="Arial" w:hAnsi="Arial" w:cs="Arial"/>
          <w:sz w:val="24"/>
          <w:szCs w:val="24"/>
        </w:rPr>
        <w:lastRenderedPageBreak/>
        <w:t xml:space="preserve">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C4E96E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lastRenderedPageBreak/>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 xml:space="preserve">w ramach cross-financingu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 xml:space="preserve">koszty nabycia wartości niematerialnych i prawnych, zakup, leasing lub dzierżawa </w:t>
      </w:r>
      <w:r w:rsidRPr="000602FB">
        <w:rPr>
          <w:rFonts w:ascii="Arial" w:eastAsia="Calibri" w:hAnsi="Arial" w:cs="Arial"/>
          <w:color w:val="000000"/>
          <w:sz w:val="24"/>
          <w:szCs w:val="24"/>
        </w:rPr>
        <w:lastRenderedPageBreak/>
        <w:t>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grantobiorcom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lastRenderedPageBreak/>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10CAF762"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5EA4CDEC" w:rsidR="00633E5B" w:rsidRPr="000602FB" w:rsidRDefault="00633E5B" w:rsidP="009075CF">
      <w:pPr>
        <w:pStyle w:val="Akapitzlist"/>
        <w:numPr>
          <w:ilvl w:val="0"/>
          <w:numId w:val="97"/>
        </w:numPr>
        <w:spacing w:line="276" w:lineRule="auto"/>
        <w:ind w:left="426" w:hanging="426"/>
        <w:rPr>
          <w:rFonts w:ascii="Arial" w:hAnsi="Arial" w:cs="Arial"/>
          <w:sz w:val="24"/>
          <w:szCs w:val="24"/>
        </w:rPr>
      </w:pPr>
      <w:r w:rsidRPr="00E87860">
        <w:rPr>
          <w:rFonts w:ascii="Arial" w:hAnsi="Arial" w:cs="Arial"/>
          <w:b/>
          <w:bCs/>
          <w:sz w:val="24"/>
          <w:szCs w:val="24"/>
        </w:rPr>
        <w:t>Rodzaj ryczałtu</w:t>
      </w:r>
      <w:r>
        <w:rPr>
          <w:rFonts w:ascii="Arial" w:hAnsi="Arial" w:cs="Arial"/>
          <w:sz w:val="24"/>
          <w:szCs w:val="24"/>
        </w:rPr>
        <w:t xml:space="preserve"> – pole uzupełniane automatycznie,</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lastRenderedPageBreak/>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lastRenderedPageBreak/>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lastRenderedPageBreak/>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w:t>
      </w:r>
      <w:r w:rsidR="00797FBE" w:rsidRPr="000602FB">
        <w:rPr>
          <w:rFonts w:ascii="Arial" w:hAnsi="Arial" w:cs="Arial"/>
          <w:sz w:val="24"/>
          <w:szCs w:val="24"/>
        </w:rPr>
        <w:lastRenderedPageBreak/>
        <w:t>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w:t>
      </w:r>
      <w:r w:rsidR="00C41CBC" w:rsidRPr="00271404">
        <w:rPr>
          <w:rFonts w:ascii="Arial" w:hAnsi="Arial" w:cs="Arial"/>
          <w:sz w:val="24"/>
          <w:szCs w:val="24"/>
        </w:rPr>
        <w:lastRenderedPageBreak/>
        <w:t>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1CC804F4"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4072BAF7"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0C7B63A9"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lastRenderedPageBreak/>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 xml:space="preserve">Informacje na temat minimalnej wysokości średnich rocznych obrotów </w:t>
      </w:r>
      <w:r w:rsidR="00121704" w:rsidRPr="00121704">
        <w:rPr>
          <w:rFonts w:ascii="Arial" w:hAnsi="Arial" w:cs="Arial"/>
          <w:sz w:val="24"/>
          <w:szCs w:val="24"/>
        </w:rPr>
        <w:lastRenderedPageBreak/>
        <w:t>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 xml:space="preserve">powinny być potwierdzane w miarę możliwości zaświadczeniami urzędowymi, odpowiednimi orzeczeniami, dopiero </w:t>
      </w:r>
      <w:r w:rsidR="009578D4" w:rsidRPr="000602FB">
        <w:rPr>
          <w:rFonts w:ascii="Arial" w:hAnsi="Arial" w:cs="Arial"/>
          <w:color w:val="000000"/>
          <w:sz w:val="24"/>
          <w:szCs w:val="24"/>
        </w:rPr>
        <w:lastRenderedPageBreak/>
        <w:t>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lastRenderedPageBreak/>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lastRenderedPageBreak/>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0C0B6" w14:textId="77777777" w:rsidR="00674446" w:rsidRDefault="00674446" w:rsidP="00223DDC">
      <w:pPr>
        <w:spacing w:after="0" w:line="240" w:lineRule="auto"/>
      </w:pPr>
      <w:r>
        <w:separator/>
      </w:r>
    </w:p>
  </w:endnote>
  <w:endnote w:type="continuationSeparator" w:id="0">
    <w:p w14:paraId="012CDB84" w14:textId="77777777" w:rsidR="00674446" w:rsidRDefault="00674446"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E5DD" w14:textId="77777777" w:rsidR="00674446" w:rsidRDefault="00674446" w:rsidP="00223DDC">
      <w:pPr>
        <w:spacing w:after="0" w:line="240" w:lineRule="auto"/>
      </w:pPr>
      <w:r>
        <w:separator/>
      </w:r>
    </w:p>
  </w:footnote>
  <w:footnote w:type="continuationSeparator" w:id="0">
    <w:p w14:paraId="105C8179" w14:textId="77777777" w:rsidR="00674446" w:rsidRDefault="00674446"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446"/>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860"/>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7650</Words>
  <Characters>53420</Characters>
  <Application>Microsoft Office Word</Application>
  <DocSecurity>0</DocSecurity>
  <Lines>445</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Dorota Burnat</cp:lastModifiedBy>
  <cp:revision>14</cp:revision>
  <cp:lastPrinted>2023-05-10T05:48:00Z</cp:lastPrinted>
  <dcterms:created xsi:type="dcterms:W3CDTF">2023-08-17T10:11:00Z</dcterms:created>
  <dcterms:modified xsi:type="dcterms:W3CDTF">2023-09-21T07:56:00Z</dcterms:modified>
</cp:coreProperties>
</file>