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60623878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9A071C">
        <w:rPr>
          <w:rFonts w:ascii="Arial" w:hAnsi="Arial" w:cs="Arial"/>
          <w:sz w:val="24"/>
          <w:szCs w:val="24"/>
        </w:rPr>
        <w:t>5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1A9CC0B4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8.2</w:t>
      </w:r>
      <w:r w:rsidR="00BE125D">
        <w:rPr>
          <w:rFonts w:ascii="Arial" w:hAnsi="Arial" w:cs="Arial"/>
          <w:b/>
          <w:bCs/>
          <w:color w:val="0070C0"/>
          <w:sz w:val="28"/>
          <w:szCs w:val="28"/>
        </w:rPr>
        <w:t>5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BA26D2" w:rsidRPr="00BA26D2">
        <w:rPr>
          <w:rFonts w:ascii="Arial" w:hAnsi="Arial" w:cs="Arial"/>
          <w:b/>
          <w:bCs/>
          <w:color w:val="0070C0"/>
          <w:sz w:val="28"/>
          <w:szCs w:val="28"/>
        </w:rPr>
        <w:t xml:space="preserve">Usługi </w:t>
      </w:r>
      <w:r w:rsidR="00BE125D">
        <w:rPr>
          <w:rFonts w:ascii="Arial" w:hAnsi="Arial" w:cs="Arial"/>
          <w:b/>
          <w:bCs/>
          <w:color w:val="0070C0"/>
          <w:sz w:val="28"/>
          <w:szCs w:val="28"/>
        </w:rPr>
        <w:t>wsparcia rodziny i pieczy zastępczej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72AB0D48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>8.2</w:t>
      </w:r>
      <w:r w:rsidR="00307068">
        <w:rPr>
          <w:rFonts w:ascii="Arial" w:hAnsi="Arial" w:cs="Arial"/>
          <w:sz w:val="24"/>
          <w:szCs w:val="24"/>
        </w:rPr>
        <w:t>5</w:t>
      </w:r>
      <w:r w:rsidR="00883C94" w:rsidRPr="00883C94">
        <w:rPr>
          <w:rFonts w:ascii="Arial" w:hAnsi="Arial" w:cs="Arial"/>
          <w:sz w:val="24"/>
          <w:szCs w:val="24"/>
        </w:rPr>
        <w:t xml:space="preserve"> Usługi</w:t>
      </w:r>
      <w:r w:rsidR="00307068">
        <w:rPr>
          <w:rFonts w:ascii="Arial" w:hAnsi="Arial" w:cs="Arial"/>
          <w:sz w:val="24"/>
          <w:szCs w:val="24"/>
        </w:rPr>
        <w:t xml:space="preserve"> wsparcia rodziny i pieczy zastępczej</w:t>
      </w:r>
      <w:r w:rsidR="00883C94" w:rsidRPr="00883C94">
        <w:rPr>
          <w:rFonts w:ascii="Arial" w:hAnsi="Arial" w:cs="Arial"/>
          <w:sz w:val="24"/>
          <w:szCs w:val="24"/>
        </w:rPr>
        <w:t xml:space="preserve"> </w:t>
      </w:r>
      <w:r w:rsidRPr="00813669">
        <w:rPr>
          <w:rFonts w:ascii="Arial" w:hAnsi="Arial" w:cs="Arial"/>
          <w:sz w:val="24"/>
          <w:szCs w:val="24"/>
        </w:rPr>
        <w:t>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43152A4" w14:textId="3FE5F3AC" w:rsidR="008E2696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1C7F426A" w14:textId="77777777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3"/>
        <w:gridCol w:w="4120"/>
        <w:gridCol w:w="3499"/>
      </w:tblGrid>
      <w:tr w:rsidR="00CB2F05" w:rsidRPr="001D68A1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0E3EB3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1D68A1" w14:paraId="2620EDAE" w14:textId="77777777" w:rsidTr="008531CF">
        <w:trPr>
          <w:trHeight w:val="781"/>
        </w:trPr>
        <w:tc>
          <w:tcPr>
            <w:tcW w:w="6373" w:type="dxa"/>
            <w:shd w:val="clear" w:color="auto" w:fill="F2F2F2" w:themeFill="background1" w:themeFillShade="F2"/>
          </w:tcPr>
          <w:p w14:paraId="59B4273D" w14:textId="400B7CA3" w:rsidR="00CB2F05" w:rsidRPr="001D68A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303D50">
              <w:rPr>
                <w:rFonts w:ascii="Arial" w:hAnsi="Arial" w:cs="Arial"/>
                <w:b/>
                <w:bCs/>
                <w:sz w:val="24"/>
                <w:szCs w:val="24"/>
              </w:rPr>
              <w:t>Usamodzielnienie osób opuszczających pieczę zastępczą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6F522254" w14:textId="4CCD9918" w:rsidR="00BB4921" w:rsidRPr="00BB4921" w:rsidRDefault="00CB2F05" w:rsidP="004141B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B492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BB492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br/>
            </w:r>
            <w:r w:rsidR="00BB4921" w:rsidRPr="00BB492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1 </w:t>
            </w:r>
            <w:r w:rsidR="000360C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129</w:t>
            </w:r>
            <w:r w:rsidR="00BB4921" w:rsidRPr="00BB492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600,00</w:t>
            </w:r>
            <w:r w:rsidR="00221DF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zł</w:t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3CFBE22F" w14:textId="23FAEDA2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B4921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B4921" w:rsidRPr="00BB49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 </w:t>
            </w:r>
            <w:r w:rsidR="000360C8">
              <w:rPr>
                <w:rFonts w:ascii="Arial" w:hAnsi="Arial" w:cs="Arial"/>
                <w:b/>
                <w:bCs/>
                <w:sz w:val="24"/>
                <w:szCs w:val="24"/>
              </w:rPr>
              <w:t>129</w:t>
            </w:r>
            <w:r w:rsidR="00BB4921" w:rsidRPr="00BB49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600,00</w:t>
            </w:r>
            <w:r w:rsidR="00221D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</w:p>
        </w:tc>
      </w:tr>
      <w:tr w:rsidR="00CB2F05" w:rsidRPr="001D68A1" w14:paraId="559312DE" w14:textId="77777777" w:rsidTr="008531CF">
        <w:tc>
          <w:tcPr>
            <w:tcW w:w="6373" w:type="dxa"/>
          </w:tcPr>
          <w:p w14:paraId="584B066C" w14:textId="4A16FA01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E86419" w:rsidRPr="00F938C6">
              <w:rPr>
                <w:rFonts w:ascii="Arial" w:hAnsi="Arial" w:cs="Arial"/>
                <w:b/>
                <w:bCs/>
                <w:sz w:val="24"/>
                <w:szCs w:val="24"/>
              </w:rPr>
              <w:t>Wynagrodzenie psychologa</w:t>
            </w:r>
          </w:p>
        </w:tc>
        <w:tc>
          <w:tcPr>
            <w:tcW w:w="4120" w:type="dxa"/>
          </w:tcPr>
          <w:p w14:paraId="514251BF" w14:textId="12A01D8C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360C8">
              <w:rPr>
                <w:rFonts w:ascii="Arial" w:hAnsi="Arial" w:cs="Arial"/>
                <w:b/>
                <w:bCs/>
                <w:sz w:val="24"/>
                <w:szCs w:val="24"/>
              </w:rPr>
              <w:t>972</w:t>
            </w:r>
            <w:r w:rsidR="002105AC">
              <w:rPr>
                <w:rFonts w:ascii="Arial" w:hAnsi="Arial" w:cs="Arial"/>
                <w:b/>
                <w:bCs/>
                <w:sz w:val="24"/>
                <w:szCs w:val="24"/>
              </w:rPr>
              <w:t> 000,00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  <w:r w:rsidR="003A4DB3" w:rsidRPr="003A4D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99" w:type="dxa"/>
          </w:tcPr>
          <w:p w14:paraId="7846F788" w14:textId="611442DC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360C8">
              <w:rPr>
                <w:rFonts w:ascii="Arial" w:hAnsi="Arial" w:cs="Arial"/>
                <w:b/>
                <w:bCs/>
                <w:sz w:val="24"/>
                <w:szCs w:val="24"/>
              </w:rPr>
              <w:t>972</w:t>
            </w:r>
            <w:r w:rsidR="002105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</w:t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16805A2E" w14:textId="77777777" w:rsidTr="008531CF">
        <w:tc>
          <w:tcPr>
            <w:tcW w:w="6373" w:type="dxa"/>
          </w:tcPr>
          <w:p w14:paraId="0647AF3C" w14:textId="02B081AC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619" w:type="dxa"/>
            <w:gridSpan w:val="2"/>
          </w:tcPr>
          <w:p w14:paraId="071A4972" w14:textId="2A635C67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 w:rsidRPr="009E01AD">
              <w:rPr>
                <w:rFonts w:ascii="Arial" w:hAnsi="Arial" w:cs="Arial"/>
                <w:b/>
                <w:bCs/>
              </w:rPr>
              <w:t>Personel projektu</w:t>
            </w:r>
          </w:p>
        </w:tc>
      </w:tr>
      <w:tr w:rsidR="00CB2F05" w:rsidRPr="00337438" w14:paraId="1E62FCFF" w14:textId="77777777" w:rsidTr="008531CF">
        <w:tc>
          <w:tcPr>
            <w:tcW w:w="6373" w:type="dxa"/>
          </w:tcPr>
          <w:p w14:paraId="6BF49A5A" w14:textId="0060A79D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360C8">
              <w:rPr>
                <w:rFonts w:ascii="Arial" w:hAnsi="Arial" w:cs="Arial"/>
                <w:b/>
                <w:bCs/>
              </w:rPr>
              <w:t>972</w:t>
            </w:r>
            <w:r w:rsidR="002105AC" w:rsidRPr="009E01AD">
              <w:rPr>
                <w:rFonts w:ascii="Arial" w:hAnsi="Arial" w:cs="Arial"/>
                <w:b/>
                <w:bCs/>
              </w:rPr>
              <w:t xml:space="preserve"> 000</w:t>
            </w:r>
            <w:r w:rsidR="008C756E" w:rsidRPr="009E01AD">
              <w:rPr>
                <w:rFonts w:ascii="Arial" w:hAnsi="Arial" w:cs="Arial"/>
                <w:b/>
                <w:bCs/>
              </w:rPr>
              <w:t>,00</w:t>
            </w:r>
          </w:p>
        </w:tc>
        <w:tc>
          <w:tcPr>
            <w:tcW w:w="7619" w:type="dxa"/>
            <w:gridSpan w:val="2"/>
          </w:tcPr>
          <w:p w14:paraId="21D25DBE" w14:textId="4AE96A0C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360C8">
              <w:rPr>
                <w:rFonts w:ascii="Arial" w:hAnsi="Arial" w:cs="Arial"/>
                <w:b/>
                <w:bCs/>
              </w:rPr>
              <w:t>972</w:t>
            </w:r>
            <w:r w:rsidR="002105AC" w:rsidRPr="009E01AD">
              <w:rPr>
                <w:rFonts w:ascii="Arial" w:hAnsi="Arial" w:cs="Arial"/>
                <w:b/>
                <w:bCs/>
              </w:rPr>
              <w:t xml:space="preserve"> 000</w:t>
            </w:r>
            <w:r w:rsidR="008C756E" w:rsidRPr="009E01AD">
              <w:rPr>
                <w:rFonts w:ascii="Arial" w:hAnsi="Arial" w:cs="Arial"/>
                <w:b/>
                <w:bCs/>
              </w:rPr>
              <w:t>,00</w:t>
            </w:r>
          </w:p>
        </w:tc>
      </w:tr>
      <w:tr w:rsidR="00CB2F05" w14:paraId="60375B60" w14:textId="77777777" w:rsidTr="008531CF">
        <w:tc>
          <w:tcPr>
            <w:tcW w:w="6373" w:type="dxa"/>
          </w:tcPr>
          <w:p w14:paraId="5690743D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  <w:gridSpan w:val="2"/>
          </w:tcPr>
          <w:p w14:paraId="7EC82B70" w14:textId="60784E56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73317" w:rsidRPr="009E01AD">
              <w:rPr>
                <w:rFonts w:ascii="Arial" w:hAnsi="Arial" w:cs="Arial"/>
                <w:b/>
                <w:bCs/>
              </w:rPr>
              <w:t>Województwo Kujawsko-Pomorskie</w:t>
            </w:r>
            <w:r w:rsidR="009E01AD">
              <w:rPr>
                <w:rFonts w:ascii="Arial" w:hAnsi="Arial" w:cs="Arial"/>
                <w:b/>
                <w:bCs/>
              </w:rPr>
              <w:t xml:space="preserve"> (Regionalny Ośrodek Polityki Społecznej)</w:t>
            </w:r>
          </w:p>
        </w:tc>
      </w:tr>
      <w:tr w:rsidR="00CB2F05" w:rsidRPr="001D68A1" w14:paraId="73F05D37" w14:textId="77777777" w:rsidTr="008531CF">
        <w:tc>
          <w:tcPr>
            <w:tcW w:w="6373" w:type="dxa"/>
          </w:tcPr>
          <w:p w14:paraId="46B95D19" w14:textId="570109D8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22041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kosztu</w:t>
            </w:r>
            <w:r w:rsidRPr="002204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0410">
              <w:rPr>
                <w:rFonts w:ascii="Arial" w:hAnsi="Arial" w:cs="Arial"/>
                <w:sz w:val="24"/>
                <w:szCs w:val="24"/>
              </w:rPr>
              <w:br/>
            </w:r>
            <w:r w:rsidR="00536D7B" w:rsidRPr="002204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Zajęcia </w:t>
            </w:r>
            <w:r w:rsidR="00220410" w:rsidRPr="00220410">
              <w:rPr>
                <w:rFonts w:ascii="Arial" w:hAnsi="Arial" w:cs="Arial"/>
                <w:b/>
                <w:bCs/>
                <w:sz w:val="24"/>
                <w:szCs w:val="24"/>
              </w:rPr>
              <w:t>polegające</w:t>
            </w:r>
            <w:r w:rsidR="002204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 treningu usamodzielnienia</w:t>
            </w:r>
          </w:p>
        </w:tc>
        <w:tc>
          <w:tcPr>
            <w:tcW w:w="4120" w:type="dxa"/>
          </w:tcPr>
          <w:p w14:paraId="50355F26" w14:textId="45BAD049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B4921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37D3C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AA4539" w:rsidRPr="00AA4539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499" w:type="dxa"/>
          </w:tcPr>
          <w:p w14:paraId="2A901131" w14:textId="39593130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B4921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37D3C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AA4539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565420D2" w14:textId="77777777" w:rsidTr="008531CF">
        <w:tc>
          <w:tcPr>
            <w:tcW w:w="6373" w:type="dxa"/>
          </w:tcPr>
          <w:p w14:paraId="6734EDB5" w14:textId="251F51A9" w:rsidR="00CB2F05" w:rsidRPr="0043427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B5E44"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19" w:type="dxa"/>
            <w:gridSpan w:val="2"/>
          </w:tcPr>
          <w:p w14:paraId="749013CA" w14:textId="14C0FEA7" w:rsidR="00CB2F05" w:rsidRPr="0043427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5C1804" w:rsidRPr="005C1804">
              <w:rPr>
                <w:rFonts w:ascii="Arial" w:hAnsi="Arial" w:cs="Arial"/>
                <w:b/>
                <w:bCs/>
                <w:sz w:val="18"/>
                <w:szCs w:val="18"/>
              </w:rPr>
              <w:t>Koszty wsparcia uczestników projektu oraz podmiotów objętych wsparciem</w:t>
            </w:r>
          </w:p>
        </w:tc>
      </w:tr>
      <w:tr w:rsidR="00CB2F05" w:rsidRPr="00337438" w14:paraId="4BDE90DD" w14:textId="77777777" w:rsidTr="008531CF">
        <w:tc>
          <w:tcPr>
            <w:tcW w:w="6373" w:type="dxa"/>
          </w:tcPr>
          <w:p w14:paraId="5CB75A5F" w14:textId="2CA451D8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B4921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37D3C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7619" w:type="dxa"/>
            <w:gridSpan w:val="2"/>
          </w:tcPr>
          <w:p w14:paraId="0112DE16" w14:textId="3944D1DE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B4921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37D3C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3B71DB66" w14:textId="77777777" w:rsidTr="008531CF">
        <w:tc>
          <w:tcPr>
            <w:tcW w:w="6373" w:type="dxa"/>
          </w:tcPr>
          <w:p w14:paraId="346841D5" w14:textId="5C816884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37D3C" w:rsidRPr="009E01AD">
              <w:rPr>
                <w:rFonts w:ascii="Arial" w:hAnsi="Arial" w:cs="Arial"/>
                <w:b/>
                <w:bCs/>
              </w:rPr>
              <w:t xml:space="preserve">podwykonawstwo </w:t>
            </w:r>
          </w:p>
        </w:tc>
        <w:tc>
          <w:tcPr>
            <w:tcW w:w="7619" w:type="dxa"/>
            <w:gridSpan w:val="2"/>
          </w:tcPr>
          <w:p w14:paraId="1EB25BA0" w14:textId="36A6E7B4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73317" w:rsidRPr="009E01AD">
              <w:rPr>
                <w:rFonts w:ascii="Arial" w:hAnsi="Arial" w:cs="Arial"/>
                <w:b/>
                <w:bCs/>
              </w:rPr>
              <w:t>Województwo Kujawsko-Pomorskie</w:t>
            </w:r>
            <w:r w:rsidR="009E01AD">
              <w:rPr>
                <w:rFonts w:ascii="Arial" w:hAnsi="Arial" w:cs="Arial"/>
                <w:b/>
                <w:bCs/>
              </w:rPr>
              <w:t xml:space="preserve"> (Regionalny Ośrodek Polityki Społecznej)</w:t>
            </w:r>
          </w:p>
        </w:tc>
      </w:tr>
      <w:tr w:rsidR="00CB2F05" w:rsidRPr="001D68A1" w14:paraId="5F8B0314" w14:textId="77777777" w:rsidTr="008531CF">
        <w:tc>
          <w:tcPr>
            <w:tcW w:w="6373" w:type="dxa"/>
          </w:tcPr>
          <w:p w14:paraId="19FA9C78" w14:textId="3CD23229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E3E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  <w:r w:rsidR="006B6163" w:rsidRPr="006F2FB4">
              <w:rPr>
                <w:rFonts w:ascii="Arial" w:hAnsi="Arial" w:cs="Arial"/>
                <w:b/>
                <w:bCs/>
                <w:sz w:val="24"/>
                <w:szCs w:val="24"/>
              </w:rPr>
              <w:t>Koszty u</w:t>
            </w:r>
            <w:r w:rsidR="00307068" w:rsidRPr="006F2FB4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="00536D7B" w:rsidRPr="006F2FB4">
              <w:rPr>
                <w:rFonts w:ascii="Arial" w:hAnsi="Arial" w:cs="Arial"/>
                <w:b/>
                <w:bCs/>
                <w:sz w:val="24"/>
                <w:szCs w:val="24"/>
              </w:rPr>
              <w:t>rzymani</w:t>
            </w:r>
            <w:r w:rsidR="006B6163" w:rsidRPr="006F2FB4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536D7B" w:rsidRPr="006F2FB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mieszkania wspomaganego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20" w:type="dxa"/>
          </w:tcPr>
          <w:p w14:paraId="3E5154DA" w14:textId="4A6CCC99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32E1B">
              <w:rPr>
                <w:rFonts w:ascii="Arial" w:hAnsi="Arial" w:cs="Arial"/>
                <w:b/>
                <w:bCs/>
                <w:sz w:val="24"/>
                <w:szCs w:val="24"/>
              </w:rPr>
              <w:t>57 600</w:t>
            </w:r>
            <w:r w:rsidR="005021E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3499" w:type="dxa"/>
          </w:tcPr>
          <w:p w14:paraId="5130FDF2" w14:textId="12086354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32E1B">
              <w:rPr>
                <w:rFonts w:ascii="Arial" w:hAnsi="Arial" w:cs="Arial"/>
                <w:b/>
                <w:bCs/>
                <w:sz w:val="24"/>
                <w:szCs w:val="24"/>
              </w:rPr>
              <w:t>57 600</w:t>
            </w:r>
            <w:r w:rsidR="005021E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4CA2CB6F" w14:textId="77777777" w:rsidTr="008531CF">
        <w:tc>
          <w:tcPr>
            <w:tcW w:w="6373" w:type="dxa"/>
          </w:tcPr>
          <w:p w14:paraId="7302121F" w14:textId="1A26043A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5021ED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619" w:type="dxa"/>
            <w:gridSpan w:val="2"/>
          </w:tcPr>
          <w:p w14:paraId="317E12C5" w14:textId="0F7DCF8E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03D4E">
              <w:rPr>
                <w:rFonts w:ascii="Arial" w:hAnsi="Arial" w:cs="Arial"/>
                <w:b/>
                <w:bCs/>
                <w:sz w:val="18"/>
                <w:szCs w:val="18"/>
              </w:rPr>
              <w:t>Koszt</w:t>
            </w:r>
            <w:r w:rsidR="005C1804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="00F03D4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C1804" w:rsidRPr="005C1804">
              <w:rPr>
                <w:rFonts w:ascii="Arial" w:hAnsi="Arial" w:cs="Arial"/>
                <w:b/>
                <w:bCs/>
                <w:sz w:val="18"/>
                <w:szCs w:val="18"/>
              </w:rPr>
              <w:t>wsparcia uczestników projektu oraz podmiotów objętych wsparciem</w:t>
            </w:r>
          </w:p>
        </w:tc>
      </w:tr>
      <w:tr w:rsidR="00CB2F05" w:rsidRPr="00337438" w14:paraId="57FC159F" w14:textId="77777777" w:rsidTr="008531CF">
        <w:tc>
          <w:tcPr>
            <w:tcW w:w="6373" w:type="dxa"/>
          </w:tcPr>
          <w:p w14:paraId="0DC490B5" w14:textId="77777777" w:rsidR="005021ED" w:rsidRDefault="00CB2F05" w:rsidP="005021E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02ED3103" w14:textId="269692B4" w:rsidR="005021ED" w:rsidRPr="005021ED" w:rsidRDefault="00232E1B" w:rsidP="005021E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57 600</w:t>
            </w:r>
            <w:r w:rsidR="005021ED" w:rsidRP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7619" w:type="dxa"/>
            <w:gridSpan w:val="2"/>
          </w:tcPr>
          <w:p w14:paraId="607DDFB5" w14:textId="4263FA53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32E1B">
              <w:rPr>
                <w:rFonts w:ascii="Arial" w:hAnsi="Arial" w:cs="Arial"/>
                <w:b/>
                <w:bCs/>
                <w:sz w:val="24"/>
                <w:szCs w:val="24"/>
              </w:rPr>
              <w:t>57 600</w:t>
            </w:r>
            <w:r w:rsidR="005021ED" w:rsidRP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48B98AE0" w14:textId="77777777" w:rsidTr="008531CF">
        <w:tc>
          <w:tcPr>
            <w:tcW w:w="6373" w:type="dxa"/>
          </w:tcPr>
          <w:p w14:paraId="7CD650B2" w14:textId="438359E8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  <w:gridSpan w:val="2"/>
          </w:tcPr>
          <w:p w14:paraId="44E2B7FF" w14:textId="700B0BDE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73317" w:rsidRPr="009E01AD">
              <w:rPr>
                <w:rFonts w:ascii="Arial" w:hAnsi="Arial" w:cs="Arial"/>
                <w:b/>
                <w:bCs/>
              </w:rPr>
              <w:t>Województwo Kujawsko-Pomorskie</w:t>
            </w:r>
            <w:r w:rsidR="009E01AD">
              <w:rPr>
                <w:rFonts w:ascii="Arial" w:hAnsi="Arial" w:cs="Arial"/>
                <w:b/>
                <w:bCs/>
              </w:rPr>
              <w:t xml:space="preserve"> (Regionalny Ośrodek Polityki Społecznej)</w:t>
            </w:r>
          </w:p>
        </w:tc>
      </w:tr>
    </w:tbl>
    <w:p w14:paraId="5740B318" w14:textId="78973DA6" w:rsidR="00CB2F05" w:rsidRDefault="00BB4921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br/>
      </w:r>
      <w:r>
        <w:rPr>
          <w:rFonts w:ascii="Arial" w:hAnsi="Arial" w:cs="Arial"/>
          <w:b/>
          <w:bCs/>
          <w:color w:val="0070C0"/>
          <w:sz w:val="24"/>
          <w:szCs w:val="24"/>
        </w:rPr>
        <w:br/>
      </w:r>
      <w:r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1D68A1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CB2F05" w:rsidRPr="003434B8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3434B8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CB2F05" w14:paraId="5593077D" w14:textId="77777777" w:rsidTr="00455C98">
        <w:tc>
          <w:tcPr>
            <w:tcW w:w="13992" w:type="dxa"/>
          </w:tcPr>
          <w:p w14:paraId="0B035ECF" w14:textId="6F1867BD" w:rsidR="000E4ED0" w:rsidRDefault="00CB2F05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</w:t>
            </w:r>
            <w:r w:rsidR="00FF2672">
              <w:rPr>
                <w:rFonts w:ascii="Arial" w:hAnsi="Arial" w:cs="Arial"/>
                <w:b/>
                <w:bCs/>
                <w:sz w:val="18"/>
                <w:szCs w:val="18"/>
              </w:rPr>
              <w:t>.1</w:t>
            </w:r>
            <w:r w:rsidR="00FF2672" w:rsidRPr="003434B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86419">
              <w:rPr>
                <w:rFonts w:ascii="Arial" w:hAnsi="Arial" w:cs="Arial"/>
                <w:b/>
                <w:bCs/>
                <w:sz w:val="24"/>
                <w:szCs w:val="24"/>
              </w:rPr>
              <w:t>Wynagrodzenie psychologa</w:t>
            </w:r>
            <w:r w:rsidR="000E4ED0" w:rsidRPr="00F03D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6A92025" w14:textId="18D4A955" w:rsidR="00945507" w:rsidRDefault="000E4ED0" w:rsidP="0094550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Psycholog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– forma zatrudnienia: umowa o pracę w wymiarze 1 etatu</w:t>
            </w:r>
            <w:r w:rsidR="009E01AD">
              <w:rPr>
                <w:rFonts w:ascii="Arial" w:hAnsi="Arial" w:cs="Arial"/>
                <w:sz w:val="24"/>
                <w:szCs w:val="24"/>
              </w:rPr>
              <w:t>, na okres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od 1 </w:t>
            </w:r>
            <w:r>
              <w:rPr>
                <w:rFonts w:ascii="Arial" w:hAnsi="Arial" w:cs="Arial"/>
                <w:sz w:val="24"/>
                <w:szCs w:val="24"/>
              </w:rPr>
              <w:t>września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r. do 31 </w:t>
            </w:r>
            <w:r w:rsidR="001B111F">
              <w:rPr>
                <w:rFonts w:ascii="Arial" w:hAnsi="Arial" w:cs="Arial"/>
                <w:sz w:val="24"/>
                <w:szCs w:val="24"/>
              </w:rPr>
              <w:t>sierpnia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945507">
              <w:rPr>
                <w:rFonts w:ascii="Arial" w:hAnsi="Arial" w:cs="Arial"/>
                <w:sz w:val="24"/>
                <w:szCs w:val="24"/>
              </w:rPr>
              <w:t>4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r. Wysokość miesięcznego wynagrodzenia brutto </w:t>
            </w:r>
            <w:proofErr w:type="spellStart"/>
            <w:r w:rsidR="00582110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 w:rsidR="00582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01A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0360C8">
              <w:rPr>
                <w:rFonts w:ascii="Arial" w:hAnsi="Arial" w:cs="Arial"/>
                <w:sz w:val="24"/>
                <w:szCs w:val="24"/>
              </w:rPr>
              <w:t>9</w:t>
            </w:r>
            <w:r w:rsidR="00582110" w:rsidRPr="00582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111F">
              <w:rPr>
                <w:rFonts w:ascii="Arial" w:hAnsi="Arial" w:cs="Arial"/>
                <w:sz w:val="24"/>
                <w:szCs w:val="24"/>
              </w:rPr>
              <w:t>000</w:t>
            </w:r>
            <w:r w:rsidR="00582110" w:rsidRPr="00582110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>zł</w:t>
            </w:r>
            <w:r w:rsidR="001B111F">
              <w:rPr>
                <w:rFonts w:ascii="Arial" w:hAnsi="Arial" w:cs="Arial"/>
                <w:sz w:val="24"/>
                <w:szCs w:val="24"/>
              </w:rPr>
              <w:t>.</w:t>
            </w:r>
            <w:r w:rsidR="00582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>Stawka wynagrodzenia została ustalona na podstawie wynagrodzeń obowiązujących na analogicznych stanowiskach</w:t>
            </w:r>
            <w:r w:rsidR="00622A3C">
              <w:rPr>
                <w:rFonts w:ascii="Arial" w:hAnsi="Arial" w:cs="Arial"/>
                <w:sz w:val="24"/>
                <w:szCs w:val="24"/>
              </w:rPr>
              <w:t>/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>lub</w:t>
            </w:r>
            <w:r w:rsidR="00582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na stanowiskach wymagających analogicznych kwalifikacji</w:t>
            </w:r>
            <w:r w:rsidR="00622A3C"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wynika z obowiązującego u </w:t>
            </w:r>
            <w:r w:rsidR="009473D0">
              <w:rPr>
                <w:rFonts w:ascii="Arial" w:hAnsi="Arial" w:cs="Arial"/>
                <w:sz w:val="24"/>
                <w:szCs w:val="24"/>
              </w:rPr>
              <w:t>w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nioskodawcy Regulaminu wynagradzania. </w:t>
            </w:r>
            <w:r w:rsidR="001B111F">
              <w:rPr>
                <w:rFonts w:ascii="Arial" w:hAnsi="Arial" w:cs="Arial"/>
                <w:sz w:val="24"/>
                <w:szCs w:val="24"/>
              </w:rPr>
              <w:t xml:space="preserve">W kalkulacji założono zatrudnienie </w:t>
            </w:r>
            <w:r w:rsidR="00945507">
              <w:rPr>
                <w:rFonts w:ascii="Arial" w:hAnsi="Arial" w:cs="Arial"/>
                <w:sz w:val="24"/>
                <w:szCs w:val="24"/>
              </w:rPr>
              <w:t>9</w:t>
            </w:r>
            <w:r w:rsidR="001B111F">
              <w:rPr>
                <w:rFonts w:ascii="Arial" w:hAnsi="Arial" w:cs="Arial"/>
                <w:sz w:val="24"/>
                <w:szCs w:val="24"/>
              </w:rPr>
              <w:t xml:space="preserve"> psychologów na okres 36 miesięcy. W każd</w:t>
            </w:r>
            <w:r w:rsidR="00E86419">
              <w:rPr>
                <w:rFonts w:ascii="Arial" w:hAnsi="Arial" w:cs="Arial"/>
                <w:sz w:val="24"/>
                <w:szCs w:val="24"/>
              </w:rPr>
              <w:t xml:space="preserve">ym z ośmiu powiatów </w:t>
            </w:r>
            <w:r w:rsidR="001B111F">
              <w:rPr>
                <w:rFonts w:ascii="Arial" w:hAnsi="Arial" w:cs="Arial"/>
                <w:sz w:val="24"/>
                <w:szCs w:val="24"/>
              </w:rPr>
              <w:t>zatrudniony zostanie 1 psycholog, który będzie prowadził poradnictwo dla dzieci i młodzieży</w:t>
            </w:r>
            <w:r w:rsidR="00945507">
              <w:rPr>
                <w:rFonts w:ascii="Arial" w:hAnsi="Arial" w:cs="Arial"/>
                <w:sz w:val="24"/>
                <w:szCs w:val="24"/>
              </w:rPr>
              <w:t xml:space="preserve"> oraz 1 psycholog dla osób przebywających w mieszkaniach wspomaganych. </w:t>
            </w:r>
          </w:p>
          <w:p w14:paraId="01CEA525" w14:textId="35EBEB28" w:rsidR="00945507" w:rsidRDefault="00945507" w:rsidP="0094550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Założono następującą kalkulację:</w:t>
            </w:r>
          </w:p>
          <w:p w14:paraId="33621A2D" w14:textId="0F00C232" w:rsidR="00945507" w:rsidRPr="00945507" w:rsidRDefault="000360C8" w:rsidP="001B111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45507">
              <w:rPr>
                <w:rFonts w:ascii="Arial" w:hAnsi="Arial" w:cs="Arial"/>
                <w:sz w:val="24"/>
                <w:szCs w:val="24"/>
              </w:rPr>
              <w:t xml:space="preserve"> 000,00 zł x 9 x 12 miesięcy = </w:t>
            </w:r>
            <w:r>
              <w:rPr>
                <w:rFonts w:ascii="Arial" w:hAnsi="Arial" w:cs="Arial"/>
                <w:sz w:val="24"/>
                <w:szCs w:val="24"/>
              </w:rPr>
              <w:t>972</w:t>
            </w:r>
            <w:r w:rsidR="00945507">
              <w:rPr>
                <w:rFonts w:ascii="Arial" w:hAnsi="Arial" w:cs="Arial"/>
                <w:sz w:val="24"/>
                <w:szCs w:val="24"/>
              </w:rPr>
              <w:t> 000 zł.</w:t>
            </w:r>
          </w:p>
        </w:tc>
      </w:tr>
      <w:tr w:rsidR="00CB2F05" w:rsidRPr="003434B8" w14:paraId="1CB61880" w14:textId="77777777" w:rsidTr="00455C98">
        <w:tc>
          <w:tcPr>
            <w:tcW w:w="13992" w:type="dxa"/>
          </w:tcPr>
          <w:p w14:paraId="19948B54" w14:textId="09B1BD24" w:rsidR="00AA4539" w:rsidRDefault="00CB2F05" w:rsidP="00AA453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1.2.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20410" w:rsidRPr="00220410">
              <w:rPr>
                <w:rFonts w:ascii="Arial" w:hAnsi="Arial" w:cs="Arial"/>
                <w:b/>
                <w:bCs/>
                <w:sz w:val="24"/>
                <w:szCs w:val="24"/>
              </w:rPr>
              <w:t>Zajęcia polegające</w:t>
            </w:r>
            <w:r w:rsidR="002204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 treningu usamodzielnienia</w:t>
            </w:r>
          </w:p>
          <w:p w14:paraId="6760E924" w14:textId="1E3D6D41" w:rsidR="00220410" w:rsidRDefault="00220410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obejmować będą m. in. trening gospodarowania budżetem domowym, trening porządku</w:t>
            </w:r>
            <w:r w:rsidR="00382C0B">
              <w:rPr>
                <w:rFonts w:ascii="Arial" w:hAnsi="Arial" w:cs="Arial"/>
                <w:sz w:val="24"/>
                <w:szCs w:val="24"/>
              </w:rPr>
              <w:t xml:space="preserve"> i</w:t>
            </w:r>
            <w:r>
              <w:rPr>
                <w:rFonts w:ascii="Arial" w:hAnsi="Arial" w:cs="Arial"/>
                <w:sz w:val="24"/>
                <w:szCs w:val="24"/>
              </w:rPr>
              <w:t xml:space="preserve"> higieny</w:t>
            </w:r>
            <w:r w:rsidR="00382C0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tren</w:t>
            </w:r>
            <w:r w:rsidR="00382C0B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ng </w:t>
            </w:r>
            <w:r w:rsidR="00382C0B">
              <w:rPr>
                <w:rFonts w:ascii="Arial" w:hAnsi="Arial" w:cs="Arial"/>
                <w:sz w:val="24"/>
                <w:szCs w:val="24"/>
              </w:rPr>
              <w:t>załatwiania</w:t>
            </w:r>
            <w:r>
              <w:rPr>
                <w:rFonts w:ascii="Arial" w:hAnsi="Arial" w:cs="Arial"/>
                <w:sz w:val="24"/>
                <w:szCs w:val="24"/>
              </w:rPr>
              <w:t xml:space="preserve"> spraw </w:t>
            </w:r>
            <w:r w:rsidR="00382C0B">
              <w:rPr>
                <w:rFonts w:ascii="Arial" w:hAnsi="Arial" w:cs="Arial"/>
                <w:sz w:val="24"/>
                <w:szCs w:val="24"/>
              </w:rPr>
              <w:t>urzędowych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, trening kulinarny i trening umiejętności poszukiwania pracy. </w:t>
            </w:r>
          </w:p>
          <w:p w14:paraId="39F73CCB" w14:textId="2B4F738E" w:rsidR="00220410" w:rsidRDefault="006F2FB4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</w:t>
            </w:r>
            <w:r w:rsidR="00144CD6">
              <w:rPr>
                <w:rFonts w:ascii="Arial" w:hAnsi="Arial" w:cs="Arial"/>
                <w:sz w:val="24"/>
                <w:szCs w:val="24"/>
              </w:rPr>
              <w:t xml:space="preserve"> odbywać się będą w</w:t>
            </w:r>
            <w:r w:rsidR="00303D50">
              <w:rPr>
                <w:rFonts w:ascii="Arial" w:hAnsi="Arial" w:cs="Arial"/>
                <w:sz w:val="24"/>
                <w:szCs w:val="24"/>
              </w:rPr>
              <w:t xml:space="preserve"> mieszkaniach wspomaganych na podstawie indywidualnego planu usamodzielnienia,</w:t>
            </w:r>
          </w:p>
          <w:p w14:paraId="377B34E9" w14:textId="442B17D0" w:rsidR="00382C0B" w:rsidRDefault="00220410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Trener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– forma zatrudnienia: </w:t>
            </w:r>
            <w:r w:rsidR="00382C0B">
              <w:rPr>
                <w:rFonts w:ascii="Arial" w:hAnsi="Arial" w:cs="Arial"/>
                <w:sz w:val="24"/>
                <w:szCs w:val="24"/>
              </w:rPr>
              <w:t xml:space="preserve">umowa cywilnoprawna. </w:t>
            </w:r>
            <w:r w:rsidR="00637D3C">
              <w:rPr>
                <w:rFonts w:ascii="Arial" w:hAnsi="Arial" w:cs="Arial"/>
                <w:sz w:val="24"/>
                <w:szCs w:val="24"/>
              </w:rPr>
              <w:t xml:space="preserve">W projekcie zostanie zatrudnionych 5 trenerów, każdy w wymiarze </w:t>
            </w:r>
            <w:r w:rsidR="00303D50">
              <w:rPr>
                <w:rFonts w:ascii="Arial" w:hAnsi="Arial" w:cs="Arial"/>
                <w:sz w:val="24"/>
                <w:szCs w:val="24"/>
              </w:rPr>
              <w:t>200h</w:t>
            </w:r>
            <w:r w:rsidR="00637D3C">
              <w:rPr>
                <w:rFonts w:ascii="Arial" w:hAnsi="Arial" w:cs="Arial"/>
                <w:sz w:val="24"/>
                <w:szCs w:val="24"/>
              </w:rPr>
              <w:t xml:space="preserve">. Wysokość wynagrodzenia </w:t>
            </w:r>
            <w:r w:rsidR="00CD6C71">
              <w:rPr>
                <w:rFonts w:ascii="Arial" w:hAnsi="Arial" w:cs="Arial"/>
                <w:sz w:val="24"/>
                <w:szCs w:val="24"/>
              </w:rPr>
              <w:t>100,</w:t>
            </w:r>
            <w:r w:rsidR="00637D3C">
              <w:rPr>
                <w:rFonts w:ascii="Arial" w:hAnsi="Arial" w:cs="Arial"/>
                <w:sz w:val="24"/>
                <w:szCs w:val="24"/>
              </w:rPr>
              <w:t xml:space="preserve">00 zł brutto </w:t>
            </w:r>
            <w:proofErr w:type="spellStart"/>
            <w:r w:rsidR="00637D3C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 w:rsidR="00637D3C">
              <w:rPr>
                <w:rFonts w:ascii="Arial" w:hAnsi="Arial" w:cs="Arial"/>
                <w:sz w:val="24"/>
                <w:szCs w:val="24"/>
              </w:rPr>
              <w:t xml:space="preserve"> za 1h. </w:t>
            </w:r>
            <w:r w:rsidR="00303D50">
              <w:rPr>
                <w:rFonts w:ascii="Arial" w:hAnsi="Arial" w:cs="Arial"/>
                <w:sz w:val="24"/>
                <w:szCs w:val="24"/>
              </w:rPr>
              <w:t>Osoby zatrudnione na stanowisku będą posiadały wykształcenie kierunkowe (pedagogika, psychologia) lub wykształcenie odpowiadające zakresowi merytorycznemu zajęć (np. kulinarne).</w:t>
            </w:r>
            <w:r w:rsidR="009E01AD"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303D50">
              <w:rPr>
                <w:rFonts w:ascii="Arial" w:hAnsi="Arial" w:cs="Arial"/>
                <w:sz w:val="24"/>
                <w:szCs w:val="24"/>
              </w:rPr>
              <w:t xml:space="preserve">opuszcza się możliwość </w:t>
            </w:r>
            <w:r w:rsidR="009E01AD">
              <w:rPr>
                <w:rFonts w:ascii="Arial" w:hAnsi="Arial" w:cs="Arial"/>
                <w:sz w:val="24"/>
                <w:szCs w:val="24"/>
              </w:rPr>
              <w:t xml:space="preserve">zatrudnienia </w:t>
            </w:r>
            <w:r w:rsidR="00303D50">
              <w:rPr>
                <w:rFonts w:ascii="Arial" w:hAnsi="Arial" w:cs="Arial"/>
                <w:sz w:val="24"/>
                <w:szCs w:val="24"/>
              </w:rPr>
              <w:t>osób, które ukończyły studia podyplomowe lub szkolenia w zakresie treningu umiejętności społecznych</w:t>
            </w:r>
            <w:r w:rsidR="005848B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2445401" w14:textId="77777777" w:rsidR="00382C0B" w:rsidRDefault="00382C0B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Założono następując kalkulację:</w:t>
            </w:r>
          </w:p>
          <w:p w14:paraId="049329C5" w14:textId="3EF35D52" w:rsidR="00CB2F05" w:rsidRPr="00860AE4" w:rsidRDefault="00637D3C" w:rsidP="00144C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x </w:t>
            </w:r>
            <w:r w:rsidR="00BB4921">
              <w:rPr>
                <w:rFonts w:ascii="Arial" w:hAnsi="Arial" w:cs="Arial"/>
                <w:sz w:val="24"/>
                <w:szCs w:val="24"/>
              </w:rPr>
              <w:t>200</w:t>
            </w:r>
            <w:r w:rsidR="00382C0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382C0B">
              <w:rPr>
                <w:rFonts w:ascii="Arial" w:hAnsi="Arial" w:cs="Arial"/>
                <w:sz w:val="24"/>
                <w:szCs w:val="24"/>
              </w:rPr>
              <w:t xml:space="preserve"> x </w:t>
            </w:r>
            <w:r w:rsidR="00BB4921">
              <w:rPr>
                <w:rFonts w:ascii="Arial" w:hAnsi="Arial" w:cs="Arial"/>
                <w:sz w:val="24"/>
                <w:szCs w:val="24"/>
              </w:rPr>
              <w:t>100</w:t>
            </w:r>
            <w:r w:rsidR="00144CD6">
              <w:rPr>
                <w:rFonts w:ascii="Arial" w:hAnsi="Arial" w:cs="Arial"/>
                <w:sz w:val="24"/>
                <w:szCs w:val="24"/>
              </w:rPr>
              <w:t xml:space="preserve"> zł = </w:t>
            </w:r>
            <w:r w:rsidR="00BB4921">
              <w:rPr>
                <w:rFonts w:ascii="Arial" w:hAnsi="Arial" w:cs="Arial"/>
                <w:sz w:val="24"/>
                <w:szCs w:val="24"/>
              </w:rPr>
              <w:t>100 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sz w:val="24"/>
                <w:szCs w:val="24"/>
              </w:rPr>
              <w:t>00</w:t>
            </w:r>
            <w:r w:rsidR="00BB4921">
              <w:rPr>
                <w:rFonts w:ascii="Arial" w:hAnsi="Arial" w:cs="Arial"/>
                <w:sz w:val="24"/>
                <w:szCs w:val="24"/>
              </w:rPr>
              <w:t>,00</w:t>
            </w:r>
            <w:r w:rsidR="00144CD6">
              <w:rPr>
                <w:rFonts w:ascii="Arial" w:hAnsi="Arial" w:cs="Arial"/>
                <w:sz w:val="24"/>
                <w:szCs w:val="24"/>
              </w:rPr>
              <w:t xml:space="preserve"> zł.</w:t>
            </w:r>
          </w:p>
        </w:tc>
      </w:tr>
      <w:tr w:rsidR="00FF2672" w:rsidRPr="003434B8" w14:paraId="7E7DCF6C" w14:textId="77777777" w:rsidTr="00455C98">
        <w:tc>
          <w:tcPr>
            <w:tcW w:w="13992" w:type="dxa"/>
          </w:tcPr>
          <w:p w14:paraId="47E64171" w14:textId="1FB38B51" w:rsidR="00C90537" w:rsidRPr="00C90537" w:rsidRDefault="00AA4539" w:rsidP="00F03D4E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Obszar danych uzasadnienia 1.</w:t>
            </w:r>
            <w:r w:rsidR="00860AE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B6163" w:rsidRPr="00C90537">
              <w:rPr>
                <w:rFonts w:ascii="Arial" w:hAnsi="Arial" w:cs="Arial"/>
                <w:b/>
                <w:bCs/>
                <w:sz w:val="24"/>
                <w:szCs w:val="24"/>
              </w:rPr>
              <w:t>Koszty utrzymania mieszkania wspomaganego</w:t>
            </w:r>
            <w:r w:rsidR="00C90537" w:rsidRPr="00C905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treningowego</w:t>
            </w:r>
          </w:p>
          <w:p w14:paraId="1DCBCDB6" w14:textId="37FFC448" w:rsidR="006B6163" w:rsidRDefault="006B616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B6163">
              <w:rPr>
                <w:rFonts w:ascii="Arial" w:hAnsi="Arial" w:cs="Arial"/>
                <w:sz w:val="24"/>
                <w:szCs w:val="24"/>
              </w:rPr>
              <w:t>Koszty utrzymania mieszkania obejmują</w:t>
            </w:r>
            <w:r w:rsidR="00C90537">
              <w:rPr>
                <w:rFonts w:ascii="Arial" w:hAnsi="Arial" w:cs="Arial"/>
                <w:sz w:val="24"/>
                <w:szCs w:val="24"/>
              </w:rPr>
              <w:t xml:space="preserve">: opłata za wynajem, </w:t>
            </w:r>
            <w:r w:rsidRPr="006B6163">
              <w:rPr>
                <w:rFonts w:ascii="Arial" w:hAnsi="Arial" w:cs="Arial"/>
                <w:sz w:val="24"/>
                <w:szCs w:val="24"/>
              </w:rPr>
              <w:t>czynsz, energię elektryczną, gaz,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163">
              <w:rPr>
                <w:rFonts w:ascii="Arial" w:hAnsi="Arial" w:cs="Arial"/>
                <w:sz w:val="24"/>
                <w:szCs w:val="24"/>
              </w:rPr>
              <w:t>wodę, ścieki oraz inne opłaty eksploatacyjne</w:t>
            </w:r>
            <w:r w:rsidR="00C90537">
              <w:rPr>
                <w:rFonts w:ascii="Arial" w:hAnsi="Arial" w:cs="Arial"/>
                <w:sz w:val="24"/>
                <w:szCs w:val="24"/>
              </w:rPr>
              <w:t xml:space="preserve"> (w tym opłat</w:t>
            </w:r>
            <w:r w:rsidR="000449C2">
              <w:rPr>
                <w:rFonts w:ascii="Arial" w:hAnsi="Arial" w:cs="Arial"/>
                <w:sz w:val="24"/>
                <w:szCs w:val="24"/>
              </w:rPr>
              <w:t>y</w:t>
            </w:r>
            <w:r w:rsidR="00C90537">
              <w:rPr>
                <w:rFonts w:ascii="Arial" w:hAnsi="Arial" w:cs="Arial"/>
                <w:sz w:val="24"/>
                <w:szCs w:val="24"/>
              </w:rPr>
              <w:t xml:space="preserve"> za korzystanie z telewizji</w:t>
            </w:r>
            <w:r w:rsidR="000449C2"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 w:rsidR="000449C2">
              <w:rPr>
                <w:rFonts w:ascii="Arial" w:hAnsi="Arial" w:cs="Arial"/>
                <w:sz w:val="24"/>
                <w:szCs w:val="24"/>
              </w:rPr>
              <w:t>internetu</w:t>
            </w:r>
            <w:proofErr w:type="spellEnd"/>
            <w:r w:rsidR="00C90537">
              <w:rPr>
                <w:rFonts w:ascii="Arial" w:hAnsi="Arial" w:cs="Arial"/>
                <w:sz w:val="24"/>
                <w:szCs w:val="24"/>
              </w:rPr>
              <w:t>)</w:t>
            </w:r>
            <w:r w:rsidRPr="006B6163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449C2">
              <w:rPr>
                <w:rFonts w:ascii="Arial" w:hAnsi="Arial" w:cs="Arial"/>
                <w:sz w:val="24"/>
                <w:szCs w:val="24"/>
              </w:rPr>
              <w:t>W pozycji założono koszty związane z utrzymaniem 6-ciu mieszkań jednoosobowych o powierzchniach około 30 m</w:t>
            </w:r>
            <w:r w:rsidR="000449C2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="000449C2">
              <w:rPr>
                <w:rFonts w:ascii="Arial" w:hAnsi="Arial" w:cs="Arial"/>
                <w:sz w:val="24"/>
                <w:szCs w:val="24"/>
              </w:rPr>
              <w:t xml:space="preserve">na okres 6-ciu miesięcy. </w:t>
            </w:r>
          </w:p>
          <w:p w14:paraId="7E1E10AF" w14:textId="45B554FB" w:rsidR="000449C2" w:rsidRDefault="000449C2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Założono następującą kalkulację:</w:t>
            </w:r>
          </w:p>
          <w:p w14:paraId="7B8F136A" w14:textId="7D9071C5" w:rsidR="000449C2" w:rsidRDefault="000449C2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opłata za wynajem 1 000,00 </w:t>
            </w:r>
            <w:r w:rsidR="00945507">
              <w:rPr>
                <w:rFonts w:ascii="Arial" w:hAnsi="Arial" w:cs="Arial"/>
                <w:sz w:val="24"/>
                <w:szCs w:val="24"/>
              </w:rPr>
              <w:t>zł</w:t>
            </w:r>
            <w:r>
              <w:rPr>
                <w:rFonts w:ascii="Arial" w:hAnsi="Arial" w:cs="Arial"/>
                <w:sz w:val="24"/>
                <w:szCs w:val="24"/>
              </w:rPr>
              <w:t xml:space="preserve">, czynsz 400,00 </w:t>
            </w:r>
            <w:r w:rsidR="00945507">
              <w:rPr>
                <w:rFonts w:ascii="Arial" w:hAnsi="Arial" w:cs="Arial"/>
                <w:sz w:val="24"/>
                <w:szCs w:val="24"/>
              </w:rPr>
              <w:t>zł</w:t>
            </w:r>
            <w:r>
              <w:rPr>
                <w:rFonts w:ascii="Arial" w:hAnsi="Arial" w:cs="Arial"/>
                <w:sz w:val="24"/>
                <w:szCs w:val="24"/>
              </w:rPr>
              <w:t xml:space="preserve">, energia elektryczna 70 </w:t>
            </w:r>
            <w:r w:rsidR="00945507">
              <w:rPr>
                <w:rFonts w:ascii="Arial" w:hAnsi="Arial" w:cs="Arial"/>
                <w:sz w:val="24"/>
                <w:szCs w:val="24"/>
              </w:rPr>
              <w:t>zł</w:t>
            </w:r>
            <w:r>
              <w:rPr>
                <w:rFonts w:ascii="Arial" w:hAnsi="Arial" w:cs="Arial"/>
                <w:sz w:val="24"/>
                <w:szCs w:val="24"/>
              </w:rPr>
              <w:t xml:space="preserve">, gaz 30 </w:t>
            </w:r>
            <w:r w:rsidR="00945507">
              <w:rPr>
                <w:rFonts w:ascii="Arial" w:hAnsi="Arial" w:cs="Arial"/>
                <w:sz w:val="24"/>
                <w:szCs w:val="24"/>
              </w:rPr>
              <w:t>zł</w:t>
            </w:r>
            <w:r>
              <w:rPr>
                <w:rFonts w:ascii="Arial" w:hAnsi="Arial" w:cs="Arial"/>
                <w:sz w:val="24"/>
                <w:szCs w:val="24"/>
              </w:rPr>
              <w:t>, opłaty za telewizj</w:t>
            </w:r>
            <w:r w:rsidR="00945507">
              <w:rPr>
                <w:rFonts w:ascii="Arial" w:hAnsi="Arial" w:cs="Arial"/>
                <w:sz w:val="24"/>
                <w:szCs w:val="24"/>
              </w:rPr>
              <w:t>ę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0A646B">
              <w:rPr>
                <w:rFonts w:ascii="Arial" w:hAnsi="Arial" w:cs="Arial"/>
                <w:sz w:val="24"/>
                <w:szCs w:val="24"/>
              </w:rPr>
              <w:t>Internet</w:t>
            </w:r>
            <w:r>
              <w:rPr>
                <w:rFonts w:ascii="Arial" w:hAnsi="Arial" w:cs="Arial"/>
                <w:sz w:val="24"/>
                <w:szCs w:val="24"/>
              </w:rPr>
              <w:t xml:space="preserve"> 100 </w:t>
            </w:r>
            <w:r w:rsidR="00945507">
              <w:rPr>
                <w:rFonts w:ascii="Arial" w:hAnsi="Arial" w:cs="Arial"/>
                <w:sz w:val="24"/>
                <w:szCs w:val="24"/>
              </w:rPr>
              <w:t>zł</w:t>
            </w:r>
            <w:r w:rsidR="00232E1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B62A34" w14:textId="4772D458" w:rsidR="00FF2672" w:rsidRPr="00860AE4" w:rsidRDefault="00232E1B" w:rsidP="00232E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Razem 1 600 </w:t>
            </w:r>
            <w:r w:rsidR="00945507">
              <w:rPr>
                <w:rFonts w:ascii="Arial" w:hAnsi="Arial" w:cs="Arial"/>
                <w:sz w:val="24"/>
                <w:szCs w:val="24"/>
              </w:rPr>
              <w:t>zł</w:t>
            </w:r>
            <w:r>
              <w:rPr>
                <w:rFonts w:ascii="Arial" w:hAnsi="Arial" w:cs="Arial"/>
                <w:sz w:val="24"/>
                <w:szCs w:val="24"/>
              </w:rPr>
              <w:t xml:space="preserve"> x 6 mieszkań x 6 miesięcy = 57 600 </w:t>
            </w:r>
            <w:r w:rsidR="00945507">
              <w:rPr>
                <w:rFonts w:ascii="Arial" w:hAnsi="Arial" w:cs="Arial"/>
                <w:sz w:val="24"/>
                <w:szCs w:val="24"/>
              </w:rPr>
              <w:t>zł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p w14:paraId="31BF425A" w14:textId="7B5CC51A" w:rsidR="00F938C6" w:rsidRPr="00F938C6" w:rsidRDefault="00F938C6" w:rsidP="00F938C6">
      <w:pPr>
        <w:rPr>
          <w:rFonts w:ascii="Arial" w:hAnsi="Arial" w:cs="Arial"/>
          <w:sz w:val="24"/>
          <w:szCs w:val="24"/>
        </w:rPr>
      </w:pPr>
      <w:r w:rsidRPr="00F938C6">
        <w:rPr>
          <w:rFonts w:ascii="Arial" w:hAnsi="Arial" w:cs="Arial"/>
          <w:sz w:val="24"/>
          <w:szCs w:val="24"/>
        </w:rPr>
        <w:t xml:space="preserve">Limit znaków możliwych do wpisania w polu uzasadnienie wynosi 1 500, dlatego powinieneś wskazać wyłącznie najważniejsze, wymagane przez IZ informacje. Pamiętaj, że liczba dodanych uzasadnień nie może przekraczać liczby pozycji w budżecie projektu. Planując budżet projektu musisz wziąć pod uwagę powyższe ograniczenia. Zadbaj o to, aby konstrukcja budżetu projektu w podziale na poszczególne pozycje była odpowiednio szczegółowa np. dana pozycja może odnosić się do jednego rodzaju usług </w:t>
      </w:r>
      <w:r w:rsidR="003D5301">
        <w:rPr>
          <w:rFonts w:ascii="Arial" w:hAnsi="Arial" w:cs="Arial"/>
          <w:sz w:val="24"/>
          <w:szCs w:val="24"/>
        </w:rPr>
        <w:t>społecznych</w:t>
      </w:r>
      <w:r w:rsidRPr="00F938C6">
        <w:rPr>
          <w:rFonts w:ascii="Arial" w:hAnsi="Arial" w:cs="Arial"/>
          <w:sz w:val="24"/>
          <w:szCs w:val="24"/>
        </w:rPr>
        <w:t xml:space="preserve"> np. </w:t>
      </w:r>
      <w:r w:rsidR="003D5301">
        <w:rPr>
          <w:rFonts w:ascii="Arial" w:hAnsi="Arial" w:cs="Arial"/>
          <w:sz w:val="24"/>
          <w:szCs w:val="24"/>
        </w:rPr>
        <w:t>kosztów utrzymania mieszkania wspomaganego</w:t>
      </w:r>
      <w:r w:rsidRPr="00F938C6">
        <w:rPr>
          <w:rFonts w:ascii="Arial" w:hAnsi="Arial" w:cs="Arial"/>
          <w:sz w:val="24"/>
          <w:szCs w:val="24"/>
        </w:rPr>
        <w:t>, tak aby dane zawarte w nazwach pozycji budżetowych oraz w uzasadnieniu do nich zawierały niezbędne informacje do oceny racjonalności i zasadności kosztów.</w:t>
      </w:r>
    </w:p>
    <w:p w14:paraId="0DA117E5" w14:textId="20F76D82" w:rsidR="00A50174" w:rsidRDefault="00F938C6" w:rsidP="00E02892">
      <w:pPr>
        <w:rPr>
          <w:rFonts w:ascii="Arial" w:hAnsi="Arial" w:cs="Arial"/>
          <w:b/>
          <w:color w:val="0070C0"/>
          <w:sz w:val="24"/>
          <w:szCs w:val="24"/>
        </w:rPr>
      </w:pPr>
      <w:r w:rsidRPr="00F938C6">
        <w:rPr>
          <w:rFonts w:ascii="Arial" w:hAnsi="Arial" w:cs="Arial"/>
          <w:sz w:val="24"/>
          <w:szCs w:val="24"/>
        </w:rPr>
        <w:t>Dodatkowo, w celu zwiększenia czytelności zapisów uzasadnień do budżetu w polu L.p. wskaż numer zadania i pozycji budżetowej, której dotyczy dane uzasadnienie np. Zadanie nr 1, pozycja nr 1 (aplikacja SOWA EFS nadaje uzasadnieniom do budżetu numery porządkowe i nie uwzględnia podziału uzasadnień na poszczególne zadania).</w:t>
      </w:r>
      <w:bookmarkStart w:id="1" w:name="_Hlk146197158"/>
      <w:bookmarkEnd w:id="0"/>
      <w:r w:rsidR="00A50174">
        <w:rPr>
          <w:rFonts w:ascii="Arial" w:hAnsi="Arial" w:cs="Arial"/>
          <w:sz w:val="24"/>
          <w:szCs w:val="24"/>
        </w:rPr>
        <w:br/>
      </w:r>
      <w:bookmarkEnd w:id="1"/>
      <w:r w:rsidR="00A50174">
        <w:rPr>
          <w:rFonts w:ascii="Arial" w:hAnsi="Arial" w:cs="Arial"/>
          <w:sz w:val="24"/>
          <w:szCs w:val="24"/>
        </w:rPr>
        <w:br/>
      </w:r>
      <w:r w:rsidR="00A50174" w:rsidRPr="00573578">
        <w:rPr>
          <w:rFonts w:ascii="Arial" w:hAnsi="Arial" w:cs="Arial"/>
          <w:b/>
          <w:color w:val="0070C0"/>
          <w:sz w:val="24"/>
          <w:szCs w:val="24"/>
        </w:rPr>
        <w:t>Cross-financing</w:t>
      </w:r>
    </w:p>
    <w:p w14:paraId="21114946" w14:textId="4F0808D3" w:rsidR="005772A5" w:rsidRPr="005772A5" w:rsidRDefault="005772A5" w:rsidP="00E02892">
      <w:pPr>
        <w:rPr>
          <w:rFonts w:ascii="Arial" w:hAnsi="Arial" w:cs="Arial"/>
          <w:b/>
          <w:bCs/>
          <w:sz w:val="28"/>
          <w:szCs w:val="28"/>
        </w:rPr>
      </w:pPr>
      <w:r w:rsidRPr="005772A5">
        <w:rPr>
          <w:rFonts w:ascii="Arial" w:hAnsi="Arial" w:cs="Arial"/>
          <w:b/>
          <w:bCs/>
          <w:sz w:val="28"/>
          <w:szCs w:val="28"/>
        </w:rPr>
        <w:t>Zmiana sposobu wyliczania limitu cross-financingu w projektach realizowanych ze środków EFS+</w:t>
      </w:r>
    </w:p>
    <w:p w14:paraId="781E5E2A" w14:textId="2CD022A3" w:rsidR="00A50174" w:rsidRPr="009E01AD" w:rsidRDefault="005A3B9B" w:rsidP="00A50174">
      <w:pPr>
        <w:rPr>
          <w:rFonts w:ascii="Arial" w:hAnsi="Arial" w:cs="Arial"/>
          <w:b/>
          <w:bCs/>
          <w:sz w:val="24"/>
          <w:szCs w:val="24"/>
        </w:rPr>
      </w:pPr>
      <w:r w:rsidRPr="009E01AD">
        <w:rPr>
          <w:rFonts w:ascii="Arial" w:hAnsi="Arial" w:cs="Arial"/>
          <w:sz w:val="24"/>
          <w:szCs w:val="24"/>
        </w:rPr>
        <w:t xml:space="preserve">Zgodnie z przekazanym stanowiskiem KE </w:t>
      </w:r>
      <w:r w:rsidRPr="009E01AD">
        <w:rPr>
          <w:rFonts w:ascii="Arial" w:hAnsi="Arial" w:cs="Arial"/>
          <w:b/>
          <w:bCs/>
          <w:sz w:val="24"/>
          <w:szCs w:val="24"/>
        </w:rPr>
        <w:t>d</w:t>
      </w:r>
      <w:r w:rsidR="00A50174" w:rsidRPr="009E01AD">
        <w:rPr>
          <w:rFonts w:ascii="Arial" w:hAnsi="Arial" w:cs="Arial"/>
          <w:b/>
          <w:bCs/>
          <w:sz w:val="24"/>
          <w:szCs w:val="24"/>
        </w:rPr>
        <w:t>o limitu cross-financingu (C-F) należy wliczyć sumę kosztów bezpośrednich, oznaczonych jako koszty mieszczące się w limicie C-F oraz naliczonych od nich, zgodnie z przyjętą stawką ryczałtową, kosztów pośrednich</w:t>
      </w:r>
    </w:p>
    <w:p w14:paraId="400F7761" w14:textId="77777777" w:rsidR="00A50174" w:rsidRPr="009E01AD" w:rsidRDefault="00A50174" w:rsidP="00A50174">
      <w:pPr>
        <w:rPr>
          <w:rFonts w:ascii="Arial" w:hAnsi="Arial" w:cs="Arial"/>
          <w:b/>
          <w:bCs/>
          <w:sz w:val="24"/>
          <w:szCs w:val="24"/>
        </w:rPr>
      </w:pPr>
      <w:r w:rsidRPr="009E01AD">
        <w:rPr>
          <w:rFonts w:ascii="Arial" w:hAnsi="Arial" w:cs="Arial"/>
          <w:b/>
          <w:bCs/>
          <w:sz w:val="24"/>
          <w:szCs w:val="24"/>
        </w:rPr>
        <w:lastRenderedPageBreak/>
        <w:t>wg wzoru:</w:t>
      </w:r>
    </w:p>
    <w:p w14:paraId="2C63A379" w14:textId="77777777" w:rsidR="00A50174" w:rsidRPr="009E01AD" w:rsidRDefault="00A50174" w:rsidP="00A50174">
      <w:pPr>
        <w:rPr>
          <w:rFonts w:ascii="Arial" w:hAnsi="Arial" w:cs="Arial"/>
          <w:b/>
          <w:bCs/>
          <w:sz w:val="24"/>
          <w:szCs w:val="24"/>
        </w:rPr>
      </w:pPr>
      <w:r w:rsidRPr="009E01AD">
        <w:rPr>
          <w:rFonts w:ascii="Arial" w:hAnsi="Arial" w:cs="Arial"/>
          <w:b/>
          <w:bCs/>
          <w:sz w:val="24"/>
          <w:szCs w:val="24"/>
        </w:rPr>
        <w:t>C-FKB + (C-FKB*%KP) = CWC-F</w:t>
      </w:r>
    </w:p>
    <w:p w14:paraId="05832DA1" w14:textId="77777777" w:rsidR="00A50174" w:rsidRPr="009E01AD" w:rsidRDefault="00A50174" w:rsidP="00A50174">
      <w:pPr>
        <w:rPr>
          <w:rFonts w:ascii="Arial" w:hAnsi="Arial" w:cs="Arial"/>
          <w:b/>
          <w:bCs/>
          <w:sz w:val="24"/>
          <w:szCs w:val="24"/>
        </w:rPr>
      </w:pPr>
      <w:r w:rsidRPr="009E01AD">
        <w:rPr>
          <w:rFonts w:ascii="Arial" w:hAnsi="Arial" w:cs="Arial"/>
          <w:b/>
          <w:bCs/>
          <w:sz w:val="24"/>
          <w:szCs w:val="24"/>
        </w:rPr>
        <w:t>gdzie:</w:t>
      </w:r>
    </w:p>
    <w:p w14:paraId="147A36B5" w14:textId="77777777" w:rsidR="00A50174" w:rsidRPr="009E01AD" w:rsidRDefault="00A50174" w:rsidP="00A50174">
      <w:pPr>
        <w:rPr>
          <w:rFonts w:ascii="Arial" w:hAnsi="Arial" w:cs="Arial"/>
          <w:sz w:val="24"/>
          <w:szCs w:val="24"/>
        </w:rPr>
      </w:pPr>
      <w:r w:rsidRPr="009E01AD">
        <w:rPr>
          <w:rFonts w:ascii="Arial" w:hAnsi="Arial" w:cs="Arial"/>
          <w:b/>
          <w:bCs/>
          <w:sz w:val="24"/>
          <w:szCs w:val="24"/>
        </w:rPr>
        <w:t>C-FKB</w:t>
      </w:r>
      <w:r w:rsidRPr="009E01AD">
        <w:rPr>
          <w:rFonts w:ascii="Arial" w:hAnsi="Arial" w:cs="Arial"/>
          <w:sz w:val="24"/>
          <w:szCs w:val="24"/>
        </w:rPr>
        <w:t xml:space="preserve"> – suma kosztów bezpośrednich oznaczonych jako koszty mieszczące się w limicie C-F</w:t>
      </w:r>
    </w:p>
    <w:p w14:paraId="2F918097" w14:textId="77777777" w:rsidR="00A50174" w:rsidRPr="009E01AD" w:rsidRDefault="00A50174" w:rsidP="00A50174">
      <w:pPr>
        <w:rPr>
          <w:rFonts w:ascii="Arial" w:hAnsi="Arial" w:cs="Arial"/>
          <w:sz w:val="24"/>
          <w:szCs w:val="24"/>
        </w:rPr>
      </w:pPr>
      <w:r w:rsidRPr="009E01AD">
        <w:rPr>
          <w:rFonts w:ascii="Arial" w:hAnsi="Arial" w:cs="Arial"/>
          <w:b/>
          <w:bCs/>
          <w:sz w:val="24"/>
          <w:szCs w:val="24"/>
        </w:rPr>
        <w:t>%KP</w:t>
      </w:r>
      <w:r w:rsidRPr="009E01AD">
        <w:rPr>
          <w:rFonts w:ascii="Arial" w:hAnsi="Arial" w:cs="Arial"/>
          <w:sz w:val="24"/>
          <w:szCs w:val="24"/>
        </w:rPr>
        <w:t xml:space="preserve"> – % kosztów pośrednich zgodny z przyjętą stawką ryczałtową w projekcie</w:t>
      </w:r>
    </w:p>
    <w:p w14:paraId="7BFEFB97" w14:textId="77777777" w:rsidR="00A50174" w:rsidRPr="009E01AD" w:rsidRDefault="00A50174" w:rsidP="00A50174">
      <w:pPr>
        <w:rPr>
          <w:rFonts w:ascii="Arial" w:hAnsi="Arial" w:cs="Arial"/>
          <w:sz w:val="24"/>
          <w:szCs w:val="24"/>
        </w:rPr>
      </w:pPr>
      <w:r w:rsidRPr="009E01AD">
        <w:rPr>
          <w:rFonts w:ascii="Arial" w:hAnsi="Arial" w:cs="Arial"/>
          <w:b/>
          <w:bCs/>
          <w:sz w:val="24"/>
          <w:szCs w:val="24"/>
        </w:rPr>
        <w:t>CWC-F</w:t>
      </w:r>
      <w:r w:rsidRPr="009E01AD">
        <w:rPr>
          <w:rFonts w:ascii="Arial" w:hAnsi="Arial" w:cs="Arial"/>
          <w:sz w:val="24"/>
          <w:szCs w:val="24"/>
        </w:rPr>
        <w:t xml:space="preserve"> – całkowita wartość wydatków w ramach C-F</w:t>
      </w:r>
    </w:p>
    <w:p w14:paraId="0006CECA" w14:textId="77777777" w:rsidR="00A50174" w:rsidRPr="009E01AD" w:rsidRDefault="00A50174" w:rsidP="00A50174">
      <w:pPr>
        <w:rPr>
          <w:rFonts w:ascii="Arial" w:hAnsi="Arial" w:cs="Arial"/>
          <w:sz w:val="24"/>
          <w:szCs w:val="24"/>
        </w:rPr>
      </w:pPr>
      <w:r w:rsidRPr="009E01AD">
        <w:rPr>
          <w:rFonts w:ascii="Arial" w:hAnsi="Arial" w:cs="Arial"/>
          <w:sz w:val="24"/>
          <w:szCs w:val="24"/>
        </w:rPr>
        <w:t>Np.:</w:t>
      </w:r>
    </w:p>
    <w:p w14:paraId="096957DA" w14:textId="61C25B77" w:rsidR="008531CF" w:rsidRPr="009E01AD" w:rsidRDefault="00A50174" w:rsidP="006D164D">
      <w:pPr>
        <w:rPr>
          <w:rFonts w:ascii="Arial" w:hAnsi="Arial" w:cs="Arial"/>
          <w:sz w:val="24"/>
          <w:szCs w:val="24"/>
        </w:rPr>
      </w:pPr>
      <w:r w:rsidRPr="009E01AD">
        <w:rPr>
          <w:noProof/>
          <w:sz w:val="24"/>
          <w:szCs w:val="24"/>
        </w:rPr>
        <w:drawing>
          <wp:inline distT="0" distB="0" distL="0" distR="0" wp14:anchorId="1652B341" wp14:editId="0AE6CEFB">
            <wp:extent cx="5972175" cy="2476500"/>
            <wp:effectExtent l="0" t="0" r="9525" b="0"/>
            <wp:docPr id="2103482992" name="Obraz 2103482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C463C" w14:textId="77777777" w:rsidR="005A3B9B" w:rsidRPr="009E01AD" w:rsidRDefault="005A3B9B" w:rsidP="005A3B9B">
      <w:pPr>
        <w:spacing w:before="360" w:after="120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9E01AD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Należy równocześnie zauważyć, że dopiero kwota wskazana w przykładzie w poz. 7 stanowi wartość wydatków w ramach C-F, którą należy przyrównać do całkowitej wartości projektu, aby zweryfikować, czy nie stanowi ona więcej niż założony % C-F w SZOP lub kryteriach wyboru projektów.</w:t>
      </w:r>
    </w:p>
    <w:p w14:paraId="4F1F3C32" w14:textId="77777777" w:rsidR="005A3B9B" w:rsidRPr="009E01AD" w:rsidRDefault="005A3B9B" w:rsidP="005A3B9B">
      <w:pPr>
        <w:spacing w:before="120" w:after="120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9E01AD">
        <w:rPr>
          <w:rFonts w:ascii="Arial" w:eastAsia="Times New Roman" w:hAnsi="Arial" w:cs="Arial"/>
          <w:color w:val="1B1B1B"/>
          <w:sz w:val="24"/>
          <w:szCs w:val="24"/>
          <w:lang w:eastAsia="pl-PL"/>
        </w:rPr>
        <w:lastRenderedPageBreak/>
        <w:t>W analizowanym przykładzie % ten wynosiłby (poz. 7/poz. 4): 2%.</w:t>
      </w:r>
    </w:p>
    <w:p w14:paraId="7C55202E" w14:textId="71268162" w:rsidR="005A3B9B" w:rsidRPr="009E01AD" w:rsidRDefault="005A3B9B" w:rsidP="005A3B9B">
      <w:pPr>
        <w:shd w:val="clear" w:color="auto" w:fill="FFFFFF"/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proofErr w:type="spellStart"/>
      <w:r w:rsidRPr="009E01AD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MFiPR</w:t>
      </w:r>
      <w:proofErr w:type="spellEnd"/>
      <w:r w:rsidRPr="009E01AD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 jako Instytucja Koordynująca EFS+ prowadzi prace mające na celu zmianę aplikacji SOWA EFS tak, aby zastosowanie ww. podejścia w ramach wniosku o dofinansowanie było możliwe. Natomiast zaprojektowane rozwiązania w SL2021 pozwalają obecnie na wdrożenie mechanizmów umożliwiających monitorowanie limitu C-F w sposób zapewniający uwzględnienie wymogów KE.</w:t>
      </w:r>
    </w:p>
    <w:p w14:paraId="52B077CF" w14:textId="77777777" w:rsidR="00E02892" w:rsidRPr="00BE09CA" w:rsidRDefault="00E02892" w:rsidP="00E02892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1B9EFF" w14:textId="56F130E4" w:rsidR="00E02892" w:rsidRPr="00E02892" w:rsidRDefault="00E02892" w:rsidP="00E02892">
      <w:pPr>
        <w:shd w:val="clear" w:color="auto" w:fill="FFFFFF"/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IZ nie zawęziła kategorii kosztów dla działania 8.25, w związku z czym masz możliwość wyboru wszystkich kategorii kosztów wymienionych w Instrukcji wypełniania wniosku. Jeśli masz wątpliwości odnośnie przyporządkowania wydatku do właściwej kategorii wyślij do nas maila na adres wskazany w Regulaminie. </w:t>
      </w:r>
      <w:r>
        <w:rPr>
          <w:rFonts w:ascii="Arial" w:hAnsi="Arial" w:cs="Arial"/>
          <w:sz w:val="24"/>
          <w:szCs w:val="24"/>
        </w:rPr>
        <w:br/>
      </w:r>
    </w:p>
    <w:p w14:paraId="73340144" w14:textId="77777777" w:rsidR="005A3B9B" w:rsidRPr="00A50174" w:rsidRDefault="005A3B9B" w:rsidP="006D164D">
      <w:pPr>
        <w:rPr>
          <w:rFonts w:ascii="Arial" w:hAnsi="Arial" w:cs="Arial"/>
          <w:sz w:val="24"/>
          <w:szCs w:val="24"/>
        </w:rPr>
      </w:pPr>
    </w:p>
    <w:sectPr w:rsidR="005A3B9B" w:rsidRPr="00A50174" w:rsidSect="00BB5C7A">
      <w:headerReference w:type="default" r:id="rId9"/>
      <w:headerReference w:type="first" r:id="rId10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3D47" w14:textId="77777777" w:rsidR="00834CEB" w:rsidRDefault="00834CEB" w:rsidP="00B45E80">
      <w:pPr>
        <w:spacing w:after="0" w:line="240" w:lineRule="auto"/>
      </w:pPr>
      <w:r>
        <w:separator/>
      </w:r>
    </w:p>
  </w:endnote>
  <w:endnote w:type="continuationSeparator" w:id="0">
    <w:p w14:paraId="6FD24146" w14:textId="77777777" w:rsidR="00834CEB" w:rsidRDefault="00834CEB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0B85" w14:textId="77777777" w:rsidR="00834CEB" w:rsidRDefault="00834CEB" w:rsidP="00B45E80">
      <w:pPr>
        <w:spacing w:after="0" w:line="240" w:lineRule="auto"/>
      </w:pPr>
      <w:r>
        <w:separator/>
      </w:r>
    </w:p>
  </w:footnote>
  <w:footnote w:type="continuationSeparator" w:id="0">
    <w:p w14:paraId="39BC055D" w14:textId="77777777" w:rsidR="00834CEB" w:rsidRDefault="00834CEB" w:rsidP="00B45E80">
      <w:pPr>
        <w:spacing w:after="0" w:line="240" w:lineRule="auto"/>
      </w:pPr>
      <w:r>
        <w:continuationSeparator/>
      </w:r>
    </w:p>
  </w:footnote>
  <w:footnote w:id="1">
    <w:p w14:paraId="766D6E9B" w14:textId="22399761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Przyjęte stawki wynagrodzenia są przykładowe.</w:t>
      </w:r>
    </w:p>
  </w:footnote>
  <w:footnote w:id="2">
    <w:p w14:paraId="0E5C59FD" w14:textId="0D92B5D4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Zaprezentowane rodzaje kosztów i przyjęte stawki są przykładowe.</w:t>
      </w:r>
    </w:p>
  </w:footnote>
  <w:footnote w:id="3">
    <w:p w14:paraId="19A2E906" w14:textId="1C9F73EA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Uwzględnione w obliczeniach stawki są przykładowe.</w:t>
      </w:r>
    </w:p>
  </w:footnote>
  <w:footnote w:id="4">
    <w:p w14:paraId="2654E333" w14:textId="4D60286C" w:rsidR="00582110" w:rsidRDefault="00582110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  <w:num w:numId="3" w16cid:durableId="75163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360C8"/>
    <w:rsid w:val="000449C2"/>
    <w:rsid w:val="00062A25"/>
    <w:rsid w:val="00074FBE"/>
    <w:rsid w:val="00085366"/>
    <w:rsid w:val="00094D95"/>
    <w:rsid w:val="000A3365"/>
    <w:rsid w:val="000A646B"/>
    <w:rsid w:val="000A6C82"/>
    <w:rsid w:val="000D3E86"/>
    <w:rsid w:val="000D5839"/>
    <w:rsid w:val="000E3EB3"/>
    <w:rsid w:val="000E4ED0"/>
    <w:rsid w:val="000F73D6"/>
    <w:rsid w:val="00130CC1"/>
    <w:rsid w:val="00144CD6"/>
    <w:rsid w:val="0014768D"/>
    <w:rsid w:val="001B111F"/>
    <w:rsid w:val="001B4DD0"/>
    <w:rsid w:val="001D68A1"/>
    <w:rsid w:val="001E79DC"/>
    <w:rsid w:val="002105AC"/>
    <w:rsid w:val="00220410"/>
    <w:rsid w:val="00221DFC"/>
    <w:rsid w:val="00232E1B"/>
    <w:rsid w:val="00246E3F"/>
    <w:rsid w:val="00273317"/>
    <w:rsid w:val="002A495B"/>
    <w:rsid w:val="002B5E44"/>
    <w:rsid w:val="002E1FEF"/>
    <w:rsid w:val="00303D50"/>
    <w:rsid w:val="00307068"/>
    <w:rsid w:val="00316625"/>
    <w:rsid w:val="00337438"/>
    <w:rsid w:val="003434B8"/>
    <w:rsid w:val="00382C0B"/>
    <w:rsid w:val="003A4DB3"/>
    <w:rsid w:val="003A6555"/>
    <w:rsid w:val="003B44AF"/>
    <w:rsid w:val="003C3A35"/>
    <w:rsid w:val="003C6C3B"/>
    <w:rsid w:val="003D225B"/>
    <w:rsid w:val="003D5301"/>
    <w:rsid w:val="0043427C"/>
    <w:rsid w:val="004445D4"/>
    <w:rsid w:val="00455C98"/>
    <w:rsid w:val="00485168"/>
    <w:rsid w:val="004A4C25"/>
    <w:rsid w:val="005021ED"/>
    <w:rsid w:val="0050346D"/>
    <w:rsid w:val="00515A47"/>
    <w:rsid w:val="00522526"/>
    <w:rsid w:val="00536D7B"/>
    <w:rsid w:val="005772A5"/>
    <w:rsid w:val="00582110"/>
    <w:rsid w:val="005848BE"/>
    <w:rsid w:val="00596D80"/>
    <w:rsid w:val="005A3B9B"/>
    <w:rsid w:val="005A711A"/>
    <w:rsid w:val="005C1804"/>
    <w:rsid w:val="005D2D61"/>
    <w:rsid w:val="005D6E06"/>
    <w:rsid w:val="005E4771"/>
    <w:rsid w:val="00622A3C"/>
    <w:rsid w:val="00634D4E"/>
    <w:rsid w:val="00637D3C"/>
    <w:rsid w:val="0064717A"/>
    <w:rsid w:val="00680812"/>
    <w:rsid w:val="00680D79"/>
    <w:rsid w:val="00681718"/>
    <w:rsid w:val="00686E47"/>
    <w:rsid w:val="006A522A"/>
    <w:rsid w:val="006B6163"/>
    <w:rsid w:val="006D164D"/>
    <w:rsid w:val="006F2FB4"/>
    <w:rsid w:val="006F48F8"/>
    <w:rsid w:val="006F608B"/>
    <w:rsid w:val="00706693"/>
    <w:rsid w:val="0077066F"/>
    <w:rsid w:val="007A413D"/>
    <w:rsid w:val="007A5005"/>
    <w:rsid w:val="007D4986"/>
    <w:rsid w:val="00813669"/>
    <w:rsid w:val="00823425"/>
    <w:rsid w:val="00834CEB"/>
    <w:rsid w:val="008531CF"/>
    <w:rsid w:val="00860AE4"/>
    <w:rsid w:val="00875230"/>
    <w:rsid w:val="00875C00"/>
    <w:rsid w:val="00883C94"/>
    <w:rsid w:val="008970C1"/>
    <w:rsid w:val="008C5687"/>
    <w:rsid w:val="008C756E"/>
    <w:rsid w:val="008D206C"/>
    <w:rsid w:val="008D720F"/>
    <w:rsid w:val="008E2696"/>
    <w:rsid w:val="00920DA3"/>
    <w:rsid w:val="00941692"/>
    <w:rsid w:val="0094548E"/>
    <w:rsid w:val="00945507"/>
    <w:rsid w:val="009473D0"/>
    <w:rsid w:val="009A071C"/>
    <w:rsid w:val="009C1FCE"/>
    <w:rsid w:val="009E01AD"/>
    <w:rsid w:val="009F534B"/>
    <w:rsid w:val="00A50174"/>
    <w:rsid w:val="00AA4539"/>
    <w:rsid w:val="00AB7371"/>
    <w:rsid w:val="00AC6BCB"/>
    <w:rsid w:val="00AC759B"/>
    <w:rsid w:val="00B157D8"/>
    <w:rsid w:val="00B35AC0"/>
    <w:rsid w:val="00B45E80"/>
    <w:rsid w:val="00BA26D2"/>
    <w:rsid w:val="00BB4921"/>
    <w:rsid w:val="00BB5C7A"/>
    <w:rsid w:val="00BB7C61"/>
    <w:rsid w:val="00BE09CA"/>
    <w:rsid w:val="00BE125D"/>
    <w:rsid w:val="00C060F0"/>
    <w:rsid w:val="00C90537"/>
    <w:rsid w:val="00CA2326"/>
    <w:rsid w:val="00CB2F05"/>
    <w:rsid w:val="00CC2E97"/>
    <w:rsid w:val="00CC71C5"/>
    <w:rsid w:val="00CD6C71"/>
    <w:rsid w:val="00D710C0"/>
    <w:rsid w:val="00DA79D0"/>
    <w:rsid w:val="00DB2ECB"/>
    <w:rsid w:val="00E02892"/>
    <w:rsid w:val="00E05786"/>
    <w:rsid w:val="00E06DEE"/>
    <w:rsid w:val="00E31283"/>
    <w:rsid w:val="00E60EF4"/>
    <w:rsid w:val="00E65565"/>
    <w:rsid w:val="00E86419"/>
    <w:rsid w:val="00EA3FF8"/>
    <w:rsid w:val="00EB17A2"/>
    <w:rsid w:val="00EF0BB4"/>
    <w:rsid w:val="00F03D4E"/>
    <w:rsid w:val="00F060CD"/>
    <w:rsid w:val="00F56C6D"/>
    <w:rsid w:val="00F90BEC"/>
    <w:rsid w:val="00F938C6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89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7</Pages>
  <Words>1277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Dorota Burnat</cp:lastModifiedBy>
  <cp:revision>36</cp:revision>
  <dcterms:created xsi:type="dcterms:W3CDTF">2023-05-22T12:17:00Z</dcterms:created>
  <dcterms:modified xsi:type="dcterms:W3CDTF">2023-09-25T08:16:00Z</dcterms:modified>
</cp:coreProperties>
</file>