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47B171CC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971039">
        <w:rPr>
          <w:rFonts w:ascii="Arial" w:hAnsi="Arial" w:cs="Arial"/>
          <w:sz w:val="24"/>
          <w:szCs w:val="24"/>
        </w:rPr>
        <w:t>8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4C068077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8E2174">
        <w:rPr>
          <w:rFonts w:ascii="Arial" w:hAnsi="Arial" w:cs="Arial"/>
          <w:b/>
          <w:bCs/>
          <w:color w:val="0070C0"/>
          <w:sz w:val="28"/>
          <w:szCs w:val="28"/>
        </w:rPr>
        <w:t>28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A443E1" w:rsidRPr="00A443E1">
        <w:rPr>
          <w:rFonts w:ascii="Arial" w:hAnsi="Arial" w:cs="Arial"/>
          <w:b/>
          <w:bCs/>
          <w:color w:val="0070C0"/>
          <w:sz w:val="28"/>
          <w:szCs w:val="28"/>
        </w:rPr>
        <w:t xml:space="preserve">Kształcenie </w:t>
      </w:r>
      <w:r w:rsidR="009A5589">
        <w:rPr>
          <w:rFonts w:ascii="Arial" w:hAnsi="Arial" w:cs="Arial"/>
          <w:b/>
          <w:bCs/>
          <w:color w:val="0070C0"/>
          <w:sz w:val="28"/>
          <w:szCs w:val="28"/>
        </w:rPr>
        <w:t>zawodowe</w:t>
      </w:r>
      <w:r w:rsidR="00A443E1" w:rsidRPr="00A443E1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8E2174">
        <w:rPr>
          <w:rFonts w:ascii="Arial" w:hAnsi="Arial" w:cs="Arial"/>
          <w:b/>
          <w:bCs/>
          <w:color w:val="0070C0"/>
          <w:sz w:val="28"/>
          <w:szCs w:val="28"/>
        </w:rPr>
        <w:t>OPPT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3198B607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>8.</w:t>
      </w:r>
      <w:r w:rsidR="008E2174">
        <w:rPr>
          <w:rFonts w:ascii="Arial" w:hAnsi="Arial" w:cs="Arial"/>
          <w:sz w:val="24"/>
          <w:szCs w:val="24"/>
        </w:rPr>
        <w:t>28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="00A443E1">
        <w:rPr>
          <w:rFonts w:ascii="Arial" w:hAnsi="Arial" w:cs="Arial"/>
          <w:sz w:val="24"/>
          <w:szCs w:val="24"/>
        </w:rPr>
        <w:t xml:space="preserve">Kształcenie </w:t>
      </w:r>
      <w:r w:rsidR="009A5589">
        <w:rPr>
          <w:rFonts w:ascii="Arial" w:hAnsi="Arial" w:cs="Arial"/>
          <w:sz w:val="24"/>
          <w:szCs w:val="24"/>
        </w:rPr>
        <w:t>zawodowe</w:t>
      </w:r>
      <w:r w:rsidR="00A443E1">
        <w:rPr>
          <w:rFonts w:ascii="Arial" w:hAnsi="Arial" w:cs="Arial"/>
          <w:sz w:val="24"/>
          <w:szCs w:val="24"/>
        </w:rPr>
        <w:t xml:space="preserve"> </w:t>
      </w:r>
      <w:r w:rsidR="008E2174">
        <w:rPr>
          <w:rFonts w:ascii="Arial" w:hAnsi="Arial" w:cs="Arial"/>
          <w:sz w:val="24"/>
          <w:szCs w:val="24"/>
        </w:rPr>
        <w:t>OPPT</w:t>
      </w:r>
      <w:r w:rsidR="00883C94" w:rsidRPr="00883C94">
        <w:rPr>
          <w:rFonts w:ascii="Arial" w:hAnsi="Arial" w:cs="Arial"/>
          <w:sz w:val="24"/>
          <w:szCs w:val="24"/>
        </w:rPr>
        <w:t xml:space="preserve">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Pr="009A5589">
        <w:rPr>
          <w:rFonts w:ascii="Arial" w:hAnsi="Arial" w:cs="Arial"/>
          <w:sz w:val="24"/>
          <w:szCs w:val="24"/>
        </w:rPr>
        <w:t>określiła standard cen rynkowych.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48B8CB22" w14:textId="3B26967C" w:rsidR="00813669" w:rsidRDefault="00813669" w:rsidP="006D164D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B3570C9" w14:textId="6AE862EA" w:rsidR="00DA28B1" w:rsidRDefault="00D710C0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0B7C4955" w14:textId="77777777" w:rsidR="009A5589" w:rsidRDefault="009A5589" w:rsidP="009A5589">
      <w:pPr>
        <w:rPr>
          <w:rFonts w:ascii="Arial" w:hAnsi="Arial" w:cs="Arial"/>
          <w:sz w:val="24"/>
          <w:szCs w:val="24"/>
        </w:rPr>
      </w:pPr>
      <w:bookmarkStart w:id="1" w:name="_Hlk139621407"/>
      <w:r>
        <w:rPr>
          <w:rFonts w:ascii="Arial" w:hAnsi="Arial" w:cs="Arial"/>
          <w:sz w:val="24"/>
          <w:szCs w:val="24"/>
        </w:rPr>
        <w:t>Limit znaków możliwych do wpisania w polu uzasadnienie wynosi 1 500 znaków, dlatego</w:t>
      </w:r>
      <w:r w:rsidRPr="00843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powinieneś wskazać wyłącznie najważniejsze, wymagane przez IZ informacje. Pamiętaj, że </w:t>
      </w:r>
      <w:r w:rsidRPr="007E7CAF">
        <w:rPr>
          <w:rFonts w:ascii="Arial" w:hAnsi="Arial" w:cs="Arial"/>
          <w:sz w:val="24"/>
          <w:szCs w:val="24"/>
        </w:rPr>
        <w:t xml:space="preserve">liczba dodanych uzasadnień nie </w:t>
      </w:r>
      <w:r>
        <w:rPr>
          <w:rFonts w:ascii="Arial" w:hAnsi="Arial" w:cs="Arial"/>
          <w:sz w:val="24"/>
          <w:szCs w:val="24"/>
        </w:rPr>
        <w:t xml:space="preserve">może </w:t>
      </w:r>
      <w:r w:rsidRPr="007E7CAF">
        <w:rPr>
          <w:rFonts w:ascii="Arial" w:hAnsi="Arial" w:cs="Arial"/>
          <w:sz w:val="24"/>
          <w:szCs w:val="24"/>
        </w:rPr>
        <w:t>przekracza</w:t>
      </w:r>
      <w:r>
        <w:rPr>
          <w:rFonts w:ascii="Arial" w:hAnsi="Arial" w:cs="Arial"/>
          <w:sz w:val="24"/>
          <w:szCs w:val="24"/>
        </w:rPr>
        <w:t>ć</w:t>
      </w:r>
      <w:r w:rsidRPr="007E7CAF">
        <w:rPr>
          <w:rFonts w:ascii="Arial" w:hAnsi="Arial" w:cs="Arial"/>
          <w:sz w:val="24"/>
          <w:szCs w:val="24"/>
        </w:rPr>
        <w:t xml:space="preserve"> liczby pozycji w budżecie projektu. </w:t>
      </w:r>
      <w:r>
        <w:rPr>
          <w:rFonts w:ascii="Arial" w:hAnsi="Arial" w:cs="Arial"/>
          <w:sz w:val="24"/>
          <w:szCs w:val="24"/>
        </w:rPr>
        <w:t>Planując budżet projektu musisz wziąć pod uwagę powyższe ograniczenia. Zadbaj o to, aby konstrukcja budżetu projektu w podziale na poszczególne pozycje była odpowiednio szczegółowa np. dana pozycja może odnosić się do jednej formy wsparcia w danej szkole, tak aby dane zawarte w nazwach pozycji budżetowych oraz w uzasadnieniu do nich zawierały niezbędne informacje do oceny racjonalności i zasadności kosztów.</w:t>
      </w:r>
    </w:p>
    <w:p w14:paraId="517B8A7A" w14:textId="09F041DB" w:rsidR="009A5589" w:rsidRDefault="009A5589" w:rsidP="008C77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 celu zwiększenia czytelności zapisów uzasadnień do budżetu w polu L.p. wskaż numer zadania i pozycji budżetowej, której dotyczy dane uzasadnienie np. Zadanie nr 1, pozycja nr 1 (aplikacja SOWA EFS nadaje uzasadnieniom do budżetu numery porządkowe i nie uwzględnia podziału uzasadnień na poszczególne zadania</w:t>
      </w:r>
      <w:bookmarkEnd w:id="1"/>
      <w:r>
        <w:rPr>
          <w:rFonts w:ascii="Arial" w:hAnsi="Arial" w:cs="Arial"/>
          <w:sz w:val="24"/>
          <w:szCs w:val="24"/>
        </w:rPr>
        <w:t xml:space="preserve">).  </w:t>
      </w:r>
      <w:r>
        <w:rPr>
          <w:rFonts w:ascii="Arial" w:hAnsi="Arial" w:cs="Arial"/>
          <w:sz w:val="24"/>
          <w:szCs w:val="24"/>
        </w:rPr>
        <w:br/>
      </w:r>
    </w:p>
    <w:tbl>
      <w:tblPr>
        <w:tblW w:w="1431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5528"/>
        <w:gridCol w:w="5245"/>
      </w:tblGrid>
      <w:tr w:rsidR="004357C6" w:rsidRPr="008C776F" w14:paraId="75935F6F" w14:textId="38745045" w:rsidTr="004357C6">
        <w:trPr>
          <w:trHeight w:val="504"/>
        </w:trPr>
        <w:tc>
          <w:tcPr>
            <w:tcW w:w="709" w:type="dxa"/>
            <w:shd w:val="clear" w:color="auto" w:fill="D9D9D9" w:themeFill="background1" w:themeFillShade="D9"/>
          </w:tcPr>
          <w:p w14:paraId="53CB22FD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30A1CC7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Rodzaj kosztu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3969480C" w14:textId="5E970B74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  <w:b/>
                <w:bCs/>
              </w:rPr>
              <w:t>Oczekiwany standard/Uzasadnienie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14:paraId="61382BEC" w14:textId="58A5F624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Dodatkowe uwagi</w:t>
            </w:r>
          </w:p>
        </w:tc>
      </w:tr>
      <w:tr w:rsidR="004357C6" w:rsidRPr="008C776F" w14:paraId="67C93194" w14:textId="42F9FA2A" w:rsidTr="004357C6">
        <w:trPr>
          <w:trHeight w:val="690"/>
        </w:trPr>
        <w:tc>
          <w:tcPr>
            <w:tcW w:w="709" w:type="dxa"/>
          </w:tcPr>
          <w:p w14:paraId="1F63E8A7" w14:textId="77777777" w:rsidR="004357C6" w:rsidRPr="008C776F" w:rsidRDefault="004357C6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 w:rsidRPr="008C77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35" w:type="dxa"/>
          </w:tcPr>
          <w:p w14:paraId="56E119F8" w14:textId="09C4DC01" w:rsidR="004357C6" w:rsidRPr="008C776F" w:rsidRDefault="004357C6" w:rsidP="00DC42F8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Wynagrodzenie nauczycieli prowadzących </w:t>
            </w:r>
            <w:r w:rsidRPr="008C776F">
              <w:rPr>
                <w:rFonts w:ascii="Arial" w:hAnsi="Arial" w:cs="Arial"/>
                <w:b/>
                <w:bCs/>
              </w:rPr>
              <w:lastRenderedPageBreak/>
              <w:t>zajęcia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5528" w:type="dxa"/>
          </w:tcPr>
          <w:p w14:paraId="79271627" w14:textId="77777777" w:rsidR="004357C6" w:rsidRPr="008C776F" w:rsidRDefault="004357C6" w:rsidP="00DC42F8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lastRenderedPageBreak/>
              <w:t xml:space="preserve">W przypadku przydzielenia zajęć zgodnie z art. 35a Ustawy – Karta Nauczyciela za każdą godzinę prowadzenia zajęć bezpośrednio z uczniami lub na ich rzecz nauczycielowi </w:t>
            </w:r>
            <w:r w:rsidRPr="008C776F">
              <w:rPr>
                <w:rFonts w:ascii="Arial" w:hAnsi="Arial" w:cs="Arial"/>
              </w:rPr>
              <w:lastRenderedPageBreak/>
              <w:t>przysługuje wynagrodzenie w wysokości ustalonej jak za godziny ponadwymiarowe i godziny doraźnych zastępstw, w sposób określony w art. 35 ust. 3 Ustawy z dnia 26 stycznia 1982 r. – Karta Nauczyciela (według stawki osobistego wynagrodzenia z uwzględnieniem dodatku za warunki pracy).</w:t>
            </w:r>
          </w:p>
          <w:p w14:paraId="6B89CECD" w14:textId="77777777" w:rsidR="004357C6" w:rsidRPr="008C776F" w:rsidRDefault="004357C6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t>W przypadku zatrudnienia nauczyciela z innej szkoły lub placówki zgodnie z art. 16 Ustawy – Prawo oświatowe za każdą godzinę prowadzenia zajęć bezpośrednio z uczniami lub na ich rzecz nauczycielowi przysługuje wynagrodzenie nie wyższe niż wynagrodzenie za jedną godzinę prowadzenia zajęć ustalone w sposób określony w art. 35 ust. 3 Ustawy – Karta Nauczyciela dla nauczyciela dyplomowanego posiadającego wykształcenie wyższe i tytuł zawodowy magister, magister inżynier lub równorzędny oraz realizującego tygodniowy obowiązkowy wymiar godzin zajęć, o którym mowa w art. 42 ust. 3 w tabeli w lp. 3 Ustawy – Karta Nauczyciela.</w:t>
            </w:r>
          </w:p>
          <w:p w14:paraId="5270F952" w14:textId="376C32A0" w:rsidR="004357C6" w:rsidRPr="008C776F" w:rsidRDefault="004357C6" w:rsidP="00DC42F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776F">
              <w:rPr>
                <w:rFonts w:ascii="Arial" w:hAnsi="Arial" w:cs="Arial"/>
                <w:sz w:val="24"/>
                <w:szCs w:val="24"/>
              </w:rPr>
              <w:t xml:space="preserve">W uzasadnieniu kosztu należy wskazać przepis prawa (art. 35a </w:t>
            </w:r>
            <w:r>
              <w:rPr>
                <w:rFonts w:ascii="Arial" w:hAnsi="Arial" w:cs="Arial"/>
                <w:sz w:val="24"/>
                <w:szCs w:val="24"/>
              </w:rPr>
              <w:t>ustawy – Karta Nauczyciela a</w:t>
            </w:r>
            <w:r w:rsidRPr="008C776F">
              <w:rPr>
                <w:rFonts w:ascii="Arial" w:hAnsi="Arial" w:cs="Arial"/>
                <w:sz w:val="24"/>
                <w:szCs w:val="24"/>
              </w:rPr>
              <w:t>lb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8C776F">
              <w:rPr>
                <w:rFonts w:ascii="Arial" w:hAnsi="Arial" w:cs="Arial"/>
                <w:sz w:val="24"/>
                <w:szCs w:val="24"/>
              </w:rPr>
              <w:t xml:space="preserve"> art. 16 ustawy – Prawo oświatowe) stanowiący podstawę zatrudnienia nauczyciela w projekcie.</w:t>
            </w:r>
          </w:p>
        </w:tc>
        <w:tc>
          <w:tcPr>
            <w:tcW w:w="5245" w:type="dxa"/>
          </w:tcPr>
          <w:p w14:paraId="62A6C44B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lastRenderedPageBreak/>
              <w:t xml:space="preserve">W przypadku, gdy wsparciem obejmujesz uczniów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zamieszczenie </w:t>
            </w:r>
            <w:r>
              <w:rPr>
                <w:rFonts w:ascii="Arial" w:hAnsi="Arial" w:cs="Arial"/>
              </w:rPr>
              <w:lastRenderedPageBreak/>
              <w:t xml:space="preserve">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matematyki) natomiast w uzasadnieniu wydatków wykaż </w:t>
            </w:r>
            <w:r>
              <w:rPr>
                <w:rFonts w:ascii="Arial" w:hAnsi="Arial" w:cs="Arial"/>
              </w:rPr>
              <w:t xml:space="preserve">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32C55248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 </w:t>
            </w:r>
            <w:r>
              <w:rPr>
                <w:rFonts w:ascii="Arial" w:hAnsi="Arial" w:cs="Arial"/>
              </w:rPr>
              <w:t>a także stawkę wynagrodzenia</w:t>
            </w:r>
            <w:r w:rsidRPr="00482F6B">
              <w:rPr>
                <w:rFonts w:ascii="Arial" w:hAnsi="Arial" w:cs="Arial"/>
              </w:rPr>
              <w:t>.</w:t>
            </w:r>
          </w:p>
          <w:p w14:paraId="56F2503F" w14:textId="77777777" w:rsidR="004357C6" w:rsidRDefault="004357C6" w:rsidP="000F0C1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pozycji związanych z wynagrodzeniami przypisz kategorię: personel projektu.</w:t>
            </w:r>
            <w:r w:rsidRPr="00482F6B">
              <w:rPr>
                <w:rFonts w:ascii="Arial" w:hAnsi="Arial" w:cs="Arial"/>
              </w:rPr>
              <w:t xml:space="preserve"> </w:t>
            </w:r>
          </w:p>
          <w:p w14:paraId="0AFEF9A6" w14:textId="5AD3EC27" w:rsidR="004357C6" w:rsidRPr="008C776F" w:rsidRDefault="004357C6" w:rsidP="008915A1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4357C6" w:rsidRPr="008C776F" w14:paraId="790E4363" w14:textId="77777777" w:rsidTr="004357C6">
        <w:trPr>
          <w:trHeight w:val="841"/>
        </w:trPr>
        <w:tc>
          <w:tcPr>
            <w:tcW w:w="709" w:type="dxa"/>
          </w:tcPr>
          <w:p w14:paraId="1454695E" w14:textId="58473AA8" w:rsidR="004357C6" w:rsidRPr="008C776F" w:rsidRDefault="004357C6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</w:t>
            </w:r>
          </w:p>
        </w:tc>
        <w:tc>
          <w:tcPr>
            <w:tcW w:w="2835" w:type="dxa"/>
          </w:tcPr>
          <w:p w14:paraId="055AFF43" w14:textId="12EE094D" w:rsidR="004357C6" w:rsidRPr="008C776F" w:rsidRDefault="004357C6" w:rsidP="003016E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Wynagrodzenie prowadzących z</w:t>
            </w:r>
            <w:r>
              <w:rPr>
                <w:rFonts w:ascii="Arial" w:hAnsi="Arial" w:cs="Arial"/>
                <w:b/>
                <w:bCs/>
              </w:rPr>
              <w:t>ewnętrzne z</w:t>
            </w:r>
            <w:r w:rsidRPr="008C776F">
              <w:rPr>
                <w:rFonts w:ascii="Arial" w:hAnsi="Arial" w:cs="Arial"/>
                <w:b/>
                <w:bCs/>
              </w:rPr>
              <w:t>ajęcia</w:t>
            </w:r>
            <w:r>
              <w:rPr>
                <w:rFonts w:ascii="Arial" w:hAnsi="Arial" w:cs="Arial"/>
                <w:b/>
                <w:bCs/>
              </w:rPr>
              <w:t>/kursy/szkolenia dla uczniów</w:t>
            </w:r>
          </w:p>
        </w:tc>
        <w:tc>
          <w:tcPr>
            <w:tcW w:w="5528" w:type="dxa"/>
          </w:tcPr>
          <w:p w14:paraId="1245AAC4" w14:textId="77777777" w:rsidR="004357C6" w:rsidRPr="007B1131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B1131">
              <w:rPr>
                <w:rFonts w:ascii="Arial" w:hAnsi="Arial" w:cs="Arial"/>
              </w:rPr>
              <w:t xml:space="preserve">Ze względu na szeroki wachlarz możliwego zakresu i tematyki wsparcia, IZ nie określa maksymalnej stawki wynagrodzenia. </w:t>
            </w:r>
          </w:p>
          <w:p w14:paraId="76D5DC39" w14:textId="15B4CB51" w:rsidR="004357C6" w:rsidRPr="00515367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B1131">
              <w:rPr>
                <w:rFonts w:ascii="Arial" w:hAnsi="Arial" w:cs="Arial"/>
              </w:rPr>
              <w:t xml:space="preserve">Każdorazowo wymaga ona uzasadnienia w oparciu o dokonaną analizę analogicznych usług edukacyjnych dostępnych na rynku. </w:t>
            </w:r>
            <w:r w:rsidRPr="0051536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5" w:type="dxa"/>
          </w:tcPr>
          <w:p w14:paraId="40636C22" w14:textId="77777777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>gdy wsparciem obejmujesz uczniów z więcej niż jednej szkoły nazwy pozycji</w:t>
            </w:r>
            <w:r>
              <w:rPr>
                <w:rFonts w:ascii="Arial" w:hAnsi="Arial" w:cs="Arial"/>
              </w:rPr>
              <w:t xml:space="preserve"> możesz (o ile limit znaków w uzasadnieniu pozwoli Ci na zamieszczenie wszystkich wymaganych dla danej pozycji informacji)</w:t>
            </w:r>
            <w:r w:rsidRPr="00482F6B">
              <w:rPr>
                <w:rFonts w:ascii="Arial" w:hAnsi="Arial" w:cs="Arial"/>
              </w:rPr>
              <w:t xml:space="preserve"> 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zajęcia z </w:t>
            </w:r>
            <w:r>
              <w:rPr>
                <w:rFonts w:ascii="Arial" w:hAnsi="Arial" w:cs="Arial"/>
              </w:rPr>
              <w:t>robotyki</w:t>
            </w:r>
            <w:r w:rsidRPr="00482F6B">
              <w:rPr>
                <w:rFonts w:ascii="Arial" w:hAnsi="Arial" w:cs="Arial"/>
              </w:rPr>
              <w:t>) natomiast w 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413818D6" w14:textId="77777777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 xml:space="preserve">Pamiętaj, aby </w:t>
            </w:r>
            <w:r>
              <w:rPr>
                <w:rFonts w:ascii="Arial" w:hAnsi="Arial" w:cs="Arial"/>
              </w:rPr>
              <w:t>w uzasadnieniu wskazać takie informacje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</w:t>
            </w:r>
            <w:r>
              <w:rPr>
                <w:rFonts w:ascii="Arial" w:hAnsi="Arial" w:cs="Arial"/>
              </w:rPr>
              <w:t xml:space="preserve"> planowaną</w:t>
            </w:r>
            <w:r w:rsidRPr="00482F6B">
              <w:rPr>
                <w:rFonts w:ascii="Arial" w:hAnsi="Arial" w:cs="Arial"/>
              </w:rPr>
              <w:t xml:space="preserve"> liczbę grup, łączną liczbę godzin wsparcia</w:t>
            </w:r>
            <w:r>
              <w:rPr>
                <w:rFonts w:ascii="Arial" w:hAnsi="Arial" w:cs="Arial"/>
              </w:rPr>
              <w:t>. Wskaż również części składowe kosztu wraz z cenami jednostkowymi (wynagrodzenie prowadzących, materiały dydaktyczne, catering, koszty egzaminów, noclegu itp.) oraz formę zatrudnienia prowadzącego.</w:t>
            </w:r>
          </w:p>
          <w:p w14:paraId="5A565623" w14:textId="194BA0A5" w:rsidR="004357C6" w:rsidRDefault="004357C6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należy przypisać do kategorii: koszty wsparcia uczestników projektu</w:t>
            </w:r>
            <w:r w:rsidR="001623E9">
              <w:rPr>
                <w:rFonts w:ascii="Arial" w:hAnsi="Arial" w:cs="Arial"/>
              </w:rPr>
              <w:t xml:space="preserve"> oraz podmiotów objętych wsparciem</w:t>
            </w:r>
            <w:r>
              <w:rPr>
                <w:rFonts w:ascii="Arial" w:hAnsi="Arial" w:cs="Arial"/>
              </w:rPr>
              <w:t xml:space="preserve">. </w:t>
            </w:r>
          </w:p>
          <w:p w14:paraId="056E71BE" w14:textId="4C75365D" w:rsidR="004A27D7" w:rsidRPr="00DC42F8" w:rsidRDefault="004A27D7" w:rsidP="00634254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4357C6" w:rsidRPr="008C776F" w14:paraId="6BF0492A" w14:textId="77777777" w:rsidTr="004357C6">
        <w:trPr>
          <w:trHeight w:val="1191"/>
        </w:trPr>
        <w:tc>
          <w:tcPr>
            <w:tcW w:w="709" w:type="dxa"/>
          </w:tcPr>
          <w:p w14:paraId="317CBF0E" w14:textId="5ECB811C" w:rsidR="004357C6" w:rsidRDefault="00166E4F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</w:t>
            </w:r>
          </w:p>
        </w:tc>
        <w:tc>
          <w:tcPr>
            <w:tcW w:w="2835" w:type="dxa"/>
          </w:tcPr>
          <w:p w14:paraId="19BA42D2" w14:textId="0191E4F5" w:rsidR="004357C6" w:rsidRDefault="004357C6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Szkolenia/kursy/studia/staże dla </w:t>
            </w:r>
            <w:r w:rsidRPr="00AD0DBB">
              <w:rPr>
                <w:rFonts w:ascii="Arial" w:hAnsi="Arial" w:cs="Arial"/>
                <w:b/>
                <w:bCs/>
              </w:rPr>
              <w:t>przedstawicieli kadry</w:t>
            </w:r>
          </w:p>
        </w:tc>
        <w:tc>
          <w:tcPr>
            <w:tcW w:w="5528" w:type="dxa"/>
          </w:tcPr>
          <w:p w14:paraId="00253E7D" w14:textId="77777777" w:rsidR="004357C6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8C776F">
              <w:rPr>
                <w:rFonts w:ascii="Arial" w:hAnsi="Arial" w:cs="Arial"/>
              </w:rPr>
              <w:t xml:space="preserve">W uzasadnieniu kosztu należy wskazać </w:t>
            </w:r>
            <w:r>
              <w:rPr>
                <w:rFonts w:ascii="Arial" w:hAnsi="Arial" w:cs="Arial"/>
              </w:rPr>
              <w:t>formę zaangażowania prowadzących zewnętrzne studia/kursy/szkolenia w projekcie</w:t>
            </w:r>
            <w:r w:rsidRPr="008C776F">
              <w:rPr>
                <w:rFonts w:ascii="Arial" w:hAnsi="Arial" w:cs="Arial"/>
              </w:rPr>
              <w:t>.</w:t>
            </w:r>
          </w:p>
          <w:p w14:paraId="03A8C4E0" w14:textId="402502C9" w:rsidR="00166E4F" w:rsidRPr="00166E4F" w:rsidRDefault="00166E4F" w:rsidP="00515367">
            <w:pPr>
              <w:spacing w:after="160" w:line="259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E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 zawodowy nauczyciela kształcenia zawodowego w podmiocie otoczenia społeczno-gospodarczego trwa co najmniej 40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166E4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(dotyczy typu projektu 2b).</w:t>
            </w:r>
          </w:p>
          <w:p w14:paraId="7F4182D5" w14:textId="13A4B1FD" w:rsidR="00166E4F" w:rsidRDefault="00166E4F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073800FA" w14:textId="77777777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przypadku, </w:t>
            </w:r>
            <w:r w:rsidRPr="00482F6B">
              <w:rPr>
                <w:rFonts w:ascii="Arial" w:hAnsi="Arial" w:cs="Arial"/>
              </w:rPr>
              <w:t xml:space="preserve">gdy wsparciem obejmujesz </w:t>
            </w:r>
            <w:r>
              <w:rPr>
                <w:rFonts w:ascii="Arial" w:hAnsi="Arial" w:cs="Arial"/>
              </w:rPr>
              <w:t>przedstawicieli kadry</w:t>
            </w:r>
            <w:r w:rsidRPr="00482F6B">
              <w:rPr>
                <w:rFonts w:ascii="Arial" w:hAnsi="Arial" w:cs="Arial"/>
              </w:rPr>
              <w:t xml:space="preserve"> z więcej niż jednej szkoły nazwy pozycji </w:t>
            </w:r>
            <w:r>
              <w:rPr>
                <w:rFonts w:ascii="Arial" w:hAnsi="Arial" w:cs="Arial"/>
              </w:rPr>
              <w:t xml:space="preserve">możesz (o ile limit znaków w uzasadnieniu pozwoli Ci na zamieszczenie wszystkich wymaganych dla danej pozycji informacji) </w:t>
            </w:r>
            <w:r w:rsidRPr="00482F6B">
              <w:rPr>
                <w:rFonts w:ascii="Arial" w:hAnsi="Arial" w:cs="Arial"/>
              </w:rPr>
              <w:t>zawę</w:t>
            </w:r>
            <w:r>
              <w:rPr>
                <w:rFonts w:ascii="Arial" w:hAnsi="Arial" w:cs="Arial"/>
              </w:rPr>
              <w:t>zić</w:t>
            </w:r>
            <w:r w:rsidRPr="00482F6B">
              <w:rPr>
                <w:rFonts w:ascii="Arial" w:hAnsi="Arial" w:cs="Arial"/>
              </w:rPr>
              <w:t xml:space="preserve"> do jednej formy wsparcia (np. </w:t>
            </w:r>
            <w:r>
              <w:rPr>
                <w:rFonts w:ascii="Arial" w:hAnsi="Arial" w:cs="Arial"/>
              </w:rPr>
              <w:t>szkolenia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dotyczące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edukacji włączającej/kompetencji cyfrowych</w:t>
            </w:r>
            <w:r w:rsidRPr="00482F6B">
              <w:rPr>
                <w:rFonts w:ascii="Arial" w:hAnsi="Arial" w:cs="Arial"/>
              </w:rPr>
              <w:t>) natomiast w uzasadnieniu wydatków wykaż</w:t>
            </w:r>
            <w:r>
              <w:rPr>
                <w:rFonts w:ascii="Arial" w:hAnsi="Arial" w:cs="Arial"/>
              </w:rPr>
              <w:t xml:space="preserve"> wówczas </w:t>
            </w:r>
            <w:r w:rsidRPr="00482F6B">
              <w:rPr>
                <w:rFonts w:ascii="Arial" w:hAnsi="Arial" w:cs="Arial"/>
              </w:rPr>
              <w:t xml:space="preserve">dane wsparcie w podziale na szkoły. </w:t>
            </w:r>
          </w:p>
          <w:p w14:paraId="0A8A273A" w14:textId="77777777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82F6B">
              <w:rPr>
                <w:rFonts w:ascii="Arial" w:hAnsi="Arial" w:cs="Arial"/>
              </w:rPr>
              <w:t>Pamiętaj, aby</w:t>
            </w:r>
            <w:r>
              <w:rPr>
                <w:rFonts w:ascii="Arial" w:hAnsi="Arial" w:cs="Arial"/>
              </w:rPr>
              <w:t xml:space="preserve"> w uzasadnieniu</w:t>
            </w:r>
            <w:r w:rsidRPr="00482F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wskazać informacje takie jak:</w:t>
            </w:r>
            <w:r w:rsidRPr="00482F6B">
              <w:rPr>
                <w:rFonts w:ascii="Arial" w:hAnsi="Arial" w:cs="Arial"/>
              </w:rPr>
              <w:t xml:space="preserve"> liczbę osób/szkół objętych danym wsparciem oraz (jeśli dotyczy) liczbę grup, łączną liczbę godzin wsparcia</w:t>
            </w:r>
            <w:r>
              <w:rPr>
                <w:rFonts w:ascii="Arial" w:hAnsi="Arial" w:cs="Arial"/>
              </w:rPr>
              <w:t>.</w:t>
            </w:r>
            <w:r w:rsidRPr="0086648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866486">
              <w:rPr>
                <w:rFonts w:ascii="Arial" w:hAnsi="Arial" w:cs="Arial"/>
              </w:rPr>
              <w:t>Wskaż również części składowe kosztu wraz z cenami jednostkowymi (wynagrodzenie prowadzących, materiały dydaktyczne, catering, koszty egzaminów, noclegu</w:t>
            </w:r>
            <w:r>
              <w:rPr>
                <w:rFonts w:ascii="Arial" w:hAnsi="Arial" w:cs="Arial"/>
              </w:rPr>
              <w:t>, kosztów dojazdu</w:t>
            </w:r>
            <w:r w:rsidRPr="00866486">
              <w:rPr>
                <w:rFonts w:ascii="Arial" w:hAnsi="Arial" w:cs="Arial"/>
              </w:rPr>
              <w:t xml:space="preserve"> itp.)</w:t>
            </w:r>
            <w:r>
              <w:rPr>
                <w:rFonts w:ascii="Arial" w:hAnsi="Arial" w:cs="Arial"/>
              </w:rPr>
              <w:t xml:space="preserve"> oraz </w:t>
            </w:r>
            <w:r w:rsidRPr="00866486">
              <w:rPr>
                <w:rFonts w:ascii="Arial" w:hAnsi="Arial" w:cs="Arial"/>
              </w:rPr>
              <w:t>formę zatrudnienia prowadzącego.</w:t>
            </w:r>
          </w:p>
          <w:p w14:paraId="12C1096E" w14:textId="753BAB8D" w:rsidR="004357C6" w:rsidRDefault="004357C6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0B646D">
              <w:rPr>
                <w:rFonts w:ascii="Arial" w:hAnsi="Arial" w:cs="Arial"/>
              </w:rPr>
              <w:t>Koszt należy przypisać do kategorii: koszty wsparcia uczestników projektu</w:t>
            </w:r>
            <w:r w:rsidR="001623E9">
              <w:rPr>
                <w:rFonts w:ascii="Arial" w:hAnsi="Arial" w:cs="Arial"/>
              </w:rPr>
              <w:t xml:space="preserve"> oraz podmiotów objętych wsparciem</w:t>
            </w:r>
            <w:r w:rsidRPr="000B646D">
              <w:rPr>
                <w:rFonts w:ascii="Arial" w:hAnsi="Arial" w:cs="Arial"/>
              </w:rPr>
              <w:t>.</w:t>
            </w:r>
            <w:r w:rsidR="001623E9">
              <w:rPr>
                <w:rFonts w:ascii="Arial" w:hAnsi="Arial" w:cs="Arial"/>
              </w:rPr>
              <w:t xml:space="preserve"> </w:t>
            </w:r>
          </w:p>
          <w:p w14:paraId="0F452D87" w14:textId="487E7817" w:rsidR="0026477B" w:rsidRPr="007208BA" w:rsidRDefault="0026477B" w:rsidP="005C157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4357C6" w:rsidRPr="008C776F" w14:paraId="5858CFFC" w14:textId="77777777" w:rsidTr="004357C6">
        <w:trPr>
          <w:trHeight w:val="1191"/>
        </w:trPr>
        <w:tc>
          <w:tcPr>
            <w:tcW w:w="709" w:type="dxa"/>
          </w:tcPr>
          <w:p w14:paraId="76BA907C" w14:textId="05770895" w:rsidR="004357C6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835" w:type="dxa"/>
          </w:tcPr>
          <w:p w14:paraId="6E45D92F" w14:textId="04B71773" w:rsidR="004357C6" w:rsidRPr="00515367" w:rsidRDefault="004357C6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>Wsparcie dla szkół</w:t>
            </w:r>
          </w:p>
        </w:tc>
        <w:tc>
          <w:tcPr>
            <w:tcW w:w="5528" w:type="dxa"/>
          </w:tcPr>
          <w:p w14:paraId="483857A2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W przypadku wsparcia w postaci:</w:t>
            </w:r>
          </w:p>
          <w:p w14:paraId="30B51347" w14:textId="3366C86D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zewnętrznego wsparcie w zakresie doradztwa, wdrażanie nowatorskich metod nauczania, promowanie kształcenia zawodowego jako wysokiej jakości i integracyjnej ścieżki kariery wymagającej wysokich kwalifikacji (np. targi pracy) niniejszą pozycję budżetową należy zawrzeć </w:t>
            </w:r>
            <w:r w:rsidR="00A66F03">
              <w:rPr>
                <w:rFonts w:ascii="Arial" w:hAnsi="Arial" w:cs="Arial"/>
              </w:rPr>
              <w:t xml:space="preserve">co do zasady </w:t>
            </w:r>
            <w:r w:rsidRPr="00515367">
              <w:rPr>
                <w:rFonts w:ascii="Arial" w:hAnsi="Arial" w:cs="Arial"/>
              </w:rPr>
              <w:t xml:space="preserve">w kategorii: </w:t>
            </w:r>
            <w:r w:rsidR="00A66F03" w:rsidRPr="00A66F03">
              <w:rPr>
                <w:rFonts w:ascii="Arial" w:hAnsi="Arial" w:cs="Arial"/>
              </w:rPr>
              <w:t>koszty wsparcia uczestników projektu oraz podmiotów objętych wsparciem</w:t>
            </w:r>
            <w:r w:rsidRPr="00515367">
              <w:rPr>
                <w:rFonts w:ascii="Arial" w:hAnsi="Arial" w:cs="Arial"/>
              </w:rPr>
              <w:t>.</w:t>
            </w:r>
          </w:p>
          <w:p w14:paraId="64E65BEA" w14:textId="30A007CB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poprawy jakości warunków kształcenia, w tym tworzenie warunków odzwierciadlających rzeczywiste warunki pracy, dostosowanie do wymogów zielonej lub cyfrowej transformacji, w tym wzmocnienia cyfryzacji niniejszą pozycję budżetową należy zawrzeć </w:t>
            </w:r>
            <w:r w:rsidR="00A66F03">
              <w:rPr>
                <w:rFonts w:ascii="Arial" w:hAnsi="Arial" w:cs="Arial"/>
              </w:rPr>
              <w:t xml:space="preserve">co do zasady </w:t>
            </w:r>
            <w:r w:rsidRPr="00515367">
              <w:rPr>
                <w:rFonts w:ascii="Arial" w:hAnsi="Arial" w:cs="Arial"/>
              </w:rPr>
              <w:t xml:space="preserve">w kategorii: </w:t>
            </w:r>
            <w:r w:rsidR="00A66F03" w:rsidRPr="00A66F03">
              <w:rPr>
                <w:rFonts w:ascii="Arial" w:hAnsi="Arial" w:cs="Arial"/>
              </w:rPr>
              <w:t>koszty wsparcia uczestników projektu oraz podmiotów objętych wsparciem</w:t>
            </w:r>
            <w:r w:rsidR="00A66F03">
              <w:rPr>
                <w:rFonts w:ascii="Arial" w:hAnsi="Arial" w:cs="Arial"/>
              </w:rPr>
              <w:t>.</w:t>
            </w:r>
          </w:p>
          <w:p w14:paraId="115B2934" w14:textId="6E5C22B1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- edukacji włączającej np. zaangażowanie asystenta ucznia o specjalnych potrzebach edukacyjnych, w tym poprawę dostępności (np. model dostępnej szkoły) budżetową należy zawrzeć </w:t>
            </w:r>
            <w:r w:rsidR="004747DC">
              <w:rPr>
                <w:rFonts w:ascii="Arial" w:hAnsi="Arial" w:cs="Arial"/>
              </w:rPr>
              <w:t>co do zasady</w:t>
            </w:r>
            <w:r w:rsidRPr="00515367">
              <w:rPr>
                <w:rFonts w:ascii="Arial" w:hAnsi="Arial" w:cs="Arial"/>
              </w:rPr>
              <w:t xml:space="preserve"> w kategorii: </w:t>
            </w:r>
            <w:r w:rsidR="004747DC" w:rsidRPr="004747DC">
              <w:rPr>
                <w:rFonts w:ascii="Arial" w:hAnsi="Arial" w:cs="Arial"/>
              </w:rPr>
              <w:t>koszty wsparcia uczestników projektu oraz podmiotów objętych wsparciem</w:t>
            </w:r>
            <w:r w:rsidR="004747DC">
              <w:rPr>
                <w:rFonts w:ascii="Arial" w:hAnsi="Arial" w:cs="Arial"/>
              </w:rPr>
              <w:t>.</w:t>
            </w:r>
          </w:p>
          <w:p w14:paraId="7572F38A" w14:textId="7A3229A5" w:rsidR="004357C6" w:rsidRPr="00515367" w:rsidRDefault="004357C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 xml:space="preserve">Każdorazowo przed przyporządkowaniem danej pozycji do odpowiedniej kategorii kosztów w budżecie należy zapoznać się z definicjami ww. kategorii zawartych w Instrukcji wypełniania wniosku o dofinansowanie projektu EFS+ w ramach programu Fundusze Europejskie dla Kujaw i Pomorza 2021-2027. </w:t>
            </w:r>
          </w:p>
        </w:tc>
        <w:tc>
          <w:tcPr>
            <w:tcW w:w="5245" w:type="dxa"/>
          </w:tcPr>
          <w:p w14:paraId="4573D150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 xml:space="preserve">W przypadku, gdy wsparciem z zewnątrz obejmujesz więcej niż jedną szkołę nazwy pozycji zawęź do jednej formy wsparcia (np. doradztwo zewnętrzne/dostosowanie do wymogów zielonej lub cyfrowej transformacji) natomiast w uzasadnieniu wydatków wykaż dane wsparcie w podziale na szkoły. </w:t>
            </w:r>
          </w:p>
          <w:p w14:paraId="1591B5D3" w14:textId="3EB9510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W uzasadnieniu należy wskazać poszczególne elementy składające się na wydatek (ze wskazaniem cen jednostkowych).</w:t>
            </w:r>
          </w:p>
          <w:p w14:paraId="69132666" w14:textId="2087EF83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Pamiętaj, aby wskazać: liczbę szkół objętych danym wsparciem oraz (jeśli dotyczy) liczbę godzin wsparcia.</w:t>
            </w:r>
          </w:p>
          <w:p w14:paraId="55F5F8DB" w14:textId="77777777" w:rsidR="004357C6" w:rsidRPr="00515367" w:rsidRDefault="004357C6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7F6729" w:rsidRPr="008C776F" w14:paraId="7A26D32A" w14:textId="77777777" w:rsidTr="004357C6">
        <w:trPr>
          <w:trHeight w:val="1191"/>
        </w:trPr>
        <w:tc>
          <w:tcPr>
            <w:tcW w:w="709" w:type="dxa"/>
          </w:tcPr>
          <w:p w14:paraId="5E220583" w14:textId="4290EC28" w:rsidR="007F6729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835" w:type="dxa"/>
          </w:tcPr>
          <w:p w14:paraId="5A3A6D79" w14:textId="3B83C025" w:rsidR="007F6729" w:rsidRPr="00742A4F" w:rsidRDefault="007F6729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  <w:highlight w:val="yellow"/>
              </w:rPr>
            </w:pPr>
            <w:r w:rsidRPr="00515367">
              <w:rPr>
                <w:rFonts w:ascii="Arial" w:hAnsi="Arial" w:cs="Arial"/>
                <w:b/>
                <w:bCs/>
              </w:rPr>
              <w:t>Staże zawodowe</w:t>
            </w:r>
          </w:p>
        </w:tc>
        <w:tc>
          <w:tcPr>
            <w:tcW w:w="5528" w:type="dxa"/>
          </w:tcPr>
          <w:p w14:paraId="26AAC55E" w14:textId="0CF4E66A" w:rsidR="009E3B5F" w:rsidRDefault="009E3B5F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9E3B5F">
              <w:rPr>
                <w:rFonts w:ascii="Arial" w:hAnsi="Arial" w:cs="Arial"/>
              </w:rPr>
              <w:t>taże zawodowe inne niż staże uczniowskie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realizowane są z zachowaniem standardów jakości, tak aby ułatwiały uzyskanie doświadczenia i nabywania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umiejętności praktycznych niezbędnych do wykonywania pracy w zawodzie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 xml:space="preserve">i rozliczane są po faktycznie poniesionych kosztach. </w:t>
            </w:r>
            <w:r w:rsidR="0026477B">
              <w:rPr>
                <w:rFonts w:ascii="Arial" w:hAnsi="Arial" w:cs="Arial"/>
              </w:rPr>
              <w:t>S</w:t>
            </w:r>
            <w:r w:rsidRPr="009E3B5F">
              <w:rPr>
                <w:rFonts w:ascii="Arial" w:hAnsi="Arial" w:cs="Arial"/>
              </w:rPr>
              <w:t>taże zawodowe nie mogą być kierowane do uczniów technikum i uczniów</w:t>
            </w:r>
            <w:r>
              <w:rPr>
                <w:rFonts w:ascii="Arial" w:hAnsi="Arial" w:cs="Arial"/>
              </w:rPr>
              <w:t xml:space="preserve"> </w:t>
            </w:r>
            <w:r w:rsidRPr="009E3B5F">
              <w:rPr>
                <w:rFonts w:ascii="Arial" w:hAnsi="Arial" w:cs="Arial"/>
              </w:rPr>
              <w:t>branżowej szkoły I stopnia niebędących młodocianymi pracownikami</w:t>
            </w:r>
            <w:r>
              <w:rPr>
                <w:rFonts w:ascii="Arial" w:hAnsi="Arial" w:cs="Arial"/>
              </w:rPr>
              <w:t>.</w:t>
            </w:r>
          </w:p>
          <w:p w14:paraId="2B9D7376" w14:textId="1AB35BAB" w:rsidR="006F53DA" w:rsidRDefault="006F53DA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Staże zawodowe </w:t>
            </w:r>
            <w:r w:rsidRPr="00DC189E">
              <w:rPr>
                <w:rFonts w:ascii="Arial" w:eastAsia="Times New Roman" w:hAnsi="Arial" w:cs="Arial"/>
                <w:lang w:eastAsia="pl-PL"/>
              </w:rPr>
              <w:t>realizowan</w:t>
            </w:r>
            <w:r>
              <w:rPr>
                <w:rFonts w:ascii="Arial" w:eastAsia="Times New Roman" w:hAnsi="Arial" w:cs="Arial"/>
                <w:lang w:eastAsia="pl-PL"/>
              </w:rPr>
              <w:t>e są</w:t>
            </w:r>
            <w:r w:rsidRPr="00DC189E">
              <w:rPr>
                <w:rFonts w:ascii="Arial" w:eastAsia="Times New Roman" w:hAnsi="Arial" w:cs="Arial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1B5CBD91" w14:textId="0D0466F4" w:rsidR="003456DF" w:rsidRDefault="003456DF" w:rsidP="009E3B5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stażu </w:t>
            </w:r>
            <w:r w:rsidR="009E3B5F">
              <w:rPr>
                <w:rFonts w:ascii="Arial" w:hAnsi="Arial" w:cs="Arial"/>
              </w:rPr>
              <w:t xml:space="preserve">zawodowego </w:t>
            </w:r>
            <w:r>
              <w:rPr>
                <w:rFonts w:ascii="Arial" w:hAnsi="Arial" w:cs="Arial"/>
              </w:rPr>
              <w:t>możliwe jest ponoszenie poniżej wskazanych k</w:t>
            </w:r>
            <w:r w:rsidRPr="007208BA">
              <w:rPr>
                <w:rFonts w:ascii="Arial" w:hAnsi="Arial" w:cs="Arial"/>
              </w:rPr>
              <w:t>oszt</w:t>
            </w:r>
            <w:r>
              <w:rPr>
                <w:rFonts w:ascii="Arial" w:hAnsi="Arial" w:cs="Arial"/>
              </w:rPr>
              <w:t>ów</w:t>
            </w:r>
            <w:r w:rsidRPr="007208BA">
              <w:rPr>
                <w:rFonts w:ascii="Arial" w:hAnsi="Arial" w:cs="Arial"/>
              </w:rPr>
              <w:t>:</w:t>
            </w:r>
          </w:p>
          <w:p w14:paraId="4FE135A6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świadczenie pieniężne dla stażysty,</w:t>
            </w:r>
          </w:p>
          <w:p w14:paraId="0DD3F035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koszty dojazdu, </w:t>
            </w:r>
          </w:p>
          <w:p w14:paraId="16B2DEFF" w14:textId="5B1AAE0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 xml:space="preserve">- koszty zakupu materiałów i narzędzi zużywalnych niezbędne do odbycia stażu, tj. takich, które ulegają zużyciu, wyczerpaniu, degradacji w wyniku normalnej eksploatacji w czasie realizacji zadań stażowych, w ilości niezbędnej i ściśle powiązanej z programem kształcenia i programem stażu, </w:t>
            </w:r>
            <w:r w:rsidR="001B64D7" w:rsidRPr="001B64D7">
              <w:rPr>
                <w:rFonts w:ascii="Arial" w:hAnsi="Arial" w:cs="Arial"/>
              </w:rPr>
              <w:t>nie jest możliwe wyposażanie stanowiska pracy, poza zakupem niezbędnych materiałów i narzędzi zużywalnych niezbędnych do odbycia stażu zawodowego</w:t>
            </w:r>
            <w:r w:rsidR="001B64D7">
              <w:rPr>
                <w:rFonts w:ascii="Arial" w:hAnsi="Arial" w:cs="Arial"/>
              </w:rPr>
              <w:t>,</w:t>
            </w:r>
          </w:p>
          <w:p w14:paraId="6721A9E3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szkolenia BHP,</w:t>
            </w:r>
          </w:p>
          <w:p w14:paraId="117F4DB9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badania lekarskie (o ile są wymagane),</w:t>
            </w:r>
          </w:p>
          <w:p w14:paraId="5BD56708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koszty zakupu odzieży roboczej/ochronnej,</w:t>
            </w:r>
          </w:p>
          <w:p w14:paraId="24DE79EC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- ubezpieczenie.</w:t>
            </w:r>
          </w:p>
          <w:p w14:paraId="05F80850" w14:textId="77777777" w:rsidR="003456DF" w:rsidRPr="007208BA" w:rsidRDefault="003456DF" w:rsidP="003456DF">
            <w:pPr>
              <w:pStyle w:val="Default"/>
              <w:spacing w:before="120" w:after="120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>Koszt wynagrodzenia opiekuna powinny uwzględniać jedną z opcji:</w:t>
            </w:r>
          </w:p>
          <w:p w14:paraId="176393AC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refundacja podmiotowi przyjmującemu na staż wynagrodzenia opiekuna stażysty w zakresie odpowiadającym częściowemu lub całkowitemu zwolnieniu go od świadczenia pracy na rzecz realizacji zadań związanych z opieką </w:t>
            </w:r>
            <w:r w:rsidRPr="00E74FB5">
              <w:rPr>
                <w:rFonts w:ascii="Arial" w:hAnsi="Arial" w:cs="Arial"/>
              </w:rPr>
              <w:t>nad grupą stażystów</w:t>
            </w:r>
            <w:r w:rsidRPr="007208BA">
              <w:rPr>
                <w:rFonts w:ascii="Arial" w:hAnsi="Arial" w:cs="Arial"/>
              </w:rPr>
              <w:t xml:space="preserve"> przez okres 160 godzin stażu w wysokości obliczonej jak za urlop wypoczynkowy, ale nie więcej niż 6</w:t>
            </w:r>
            <w:r>
              <w:rPr>
                <w:rFonts w:ascii="Arial" w:hAnsi="Arial" w:cs="Arial"/>
              </w:rPr>
              <w:t> </w:t>
            </w:r>
            <w:r w:rsidRPr="007208BA">
              <w:rPr>
                <w:rFonts w:ascii="Arial" w:hAnsi="Arial" w:cs="Arial"/>
              </w:rPr>
              <w:t xml:space="preserve">000 zł brutto. Wysokość wynagrodzenia nalicza się proporcjonalnie do liczby godzin stażu zrealizowanych przez uczniów </w:t>
            </w:r>
            <w:r w:rsidRPr="007208BA">
              <w:rPr>
                <w:rFonts w:ascii="Arial" w:hAnsi="Arial" w:cs="Arial"/>
              </w:rPr>
              <w:lastRenderedPageBreak/>
              <w:t>(ta forma nie przysługuje osobom prowadzącym jednoosobową działalność gospodarczą).</w:t>
            </w:r>
          </w:p>
          <w:p w14:paraId="6224E036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- refundacja podmiotowi przyjmującemu na staż dodatku do wynagrodzenia opiekuna stażysty w sytuacji, gdy nie został zwolniony od świadczenia pracy w wysokości nieprzekraczającej 10% jego zasadniczego wynagrodzenia wraz ze wszystkimi składnikami wynagrodzenia wynikającego ze zwiększonego zakresu zadań </w:t>
            </w:r>
            <w:r w:rsidRPr="00E74FB5">
              <w:rPr>
                <w:rFonts w:ascii="Arial" w:hAnsi="Arial" w:cs="Arial"/>
              </w:rPr>
              <w:t>(opieka nad grupą stażystów),</w:t>
            </w:r>
            <w:r w:rsidRPr="007208BA">
              <w:rPr>
                <w:rFonts w:ascii="Arial" w:hAnsi="Arial" w:cs="Arial"/>
              </w:rPr>
              <w:t xml:space="preserve"> ale nie więcej niż 600 zł brutto za realizację 160 godzin stażu. Wysokość wynagrodzenia nalicza się proporcjonalnie do liczby godzin stażu zrealizowanych przez uczniów.</w:t>
            </w:r>
          </w:p>
          <w:p w14:paraId="0FFA2C1A" w14:textId="77777777" w:rsidR="003456DF" w:rsidRPr="007208BA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t xml:space="preserve">W przypadku zastosowania wyższych stawek </w:t>
            </w:r>
            <w:r>
              <w:rPr>
                <w:rFonts w:ascii="Arial" w:hAnsi="Arial" w:cs="Arial"/>
              </w:rPr>
              <w:t xml:space="preserve">wskaż we wniosku dodatkowe wyjaśnienia uzasadniające założoną </w:t>
            </w:r>
            <w:r w:rsidRPr="007208BA">
              <w:rPr>
                <w:rFonts w:ascii="Arial" w:hAnsi="Arial" w:cs="Arial"/>
              </w:rPr>
              <w:t xml:space="preserve"> stawk</w:t>
            </w:r>
            <w:r>
              <w:rPr>
                <w:rFonts w:ascii="Arial" w:hAnsi="Arial" w:cs="Arial"/>
              </w:rPr>
              <w:t>ę w projekcie</w:t>
            </w:r>
            <w:r w:rsidRPr="007208BA">
              <w:rPr>
                <w:rFonts w:ascii="Arial" w:hAnsi="Arial" w:cs="Arial"/>
              </w:rPr>
              <w:t xml:space="preserve">.  </w:t>
            </w:r>
          </w:p>
          <w:p w14:paraId="0B7AA4E2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 xml:space="preserve">Koszt związany z wynagrodzeniem opiekuna stażysty zależy od wymiaru zaangażowania w staż zawodowy (m.in. od liczby uczniów, wobec których świadczy opiekę; od liczby godzin zwolnienia od świadczenia pracy na rzecz realizacji zadań związanych z opieką nad stażystą). </w:t>
            </w:r>
          </w:p>
          <w:p w14:paraId="7B1437DB" w14:textId="77777777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Staż może trwać co najwyżej 160 h.</w:t>
            </w:r>
          </w:p>
          <w:p w14:paraId="5E592C2E" w14:textId="01CCEA1F" w:rsidR="00F56E8F" w:rsidRDefault="00F56E8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</w:t>
            </w:r>
            <w:r w:rsidRPr="00F56E8F">
              <w:rPr>
                <w:rFonts w:ascii="Arial" w:hAnsi="Arial" w:cs="Arial"/>
              </w:rPr>
              <w:t>ysokość świadczenia pieniężnego wynosi 80% minimalnej stawki godzinowej ustalonej na podstawie ustawy z dnia 10 października 2002 r. o minimalnym wynagrodzeniu za pracę (Dz. U. z 2020 r. poz. 2207)</w:t>
            </w:r>
            <w:r w:rsidR="008E2174">
              <w:rPr>
                <w:rFonts w:ascii="Arial" w:hAnsi="Arial" w:cs="Arial"/>
              </w:rPr>
              <w:t>.</w:t>
            </w:r>
          </w:p>
          <w:p w14:paraId="0E86909A" w14:textId="51AFD0E2" w:rsidR="007F6729" w:rsidRPr="00742A4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Świadczenie pieniężne dla stażysty – 3 </w:t>
            </w:r>
            <w:r w:rsidRPr="00984DFA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08</w:t>
            </w:r>
            <w:r w:rsidRPr="00984DFA">
              <w:rPr>
                <w:rFonts w:ascii="Arial" w:hAnsi="Arial" w:cs="Arial"/>
              </w:rPr>
              <w:t>,00 zł za 160 h stażu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476F4DCD" w14:textId="5FB04913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7208BA">
              <w:rPr>
                <w:rFonts w:ascii="Arial" w:hAnsi="Arial" w:cs="Arial"/>
              </w:rPr>
              <w:lastRenderedPageBreak/>
              <w:t>W</w:t>
            </w:r>
            <w:r>
              <w:rPr>
                <w:rFonts w:ascii="Arial" w:hAnsi="Arial" w:cs="Arial"/>
              </w:rPr>
              <w:t xml:space="preserve"> uzasadnieniu </w:t>
            </w:r>
            <w:r w:rsidRPr="007208BA">
              <w:rPr>
                <w:rFonts w:ascii="Arial" w:hAnsi="Arial" w:cs="Arial"/>
              </w:rPr>
              <w:t>należy wskazać poszczególne elementy składające się na wydatek (ze wskazaniem cen jednostkowych)</w:t>
            </w:r>
            <w:r>
              <w:rPr>
                <w:rFonts w:ascii="Arial" w:hAnsi="Arial" w:cs="Arial"/>
              </w:rPr>
              <w:t>, liczbę uczniów skierowanych na staż</w:t>
            </w:r>
            <w:r w:rsidR="0051536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liczbę opiekunów stażystów</w:t>
            </w:r>
            <w:r w:rsidR="00D23AC9">
              <w:rPr>
                <w:rFonts w:ascii="Arial" w:hAnsi="Arial" w:cs="Arial"/>
              </w:rPr>
              <w:t xml:space="preserve"> </w:t>
            </w:r>
            <w:r w:rsidR="00515367">
              <w:rPr>
                <w:rFonts w:ascii="Arial" w:hAnsi="Arial" w:cs="Arial"/>
              </w:rPr>
              <w:t>oraz</w:t>
            </w:r>
            <w:r w:rsidR="00D23AC9">
              <w:rPr>
                <w:rFonts w:ascii="Arial" w:hAnsi="Arial" w:cs="Arial"/>
              </w:rPr>
              <w:t xml:space="preserve"> liczbę stażystów przypadającą na jednego opiekuna</w:t>
            </w:r>
            <w:r>
              <w:rPr>
                <w:rFonts w:ascii="Arial" w:hAnsi="Arial" w:cs="Arial"/>
              </w:rPr>
              <w:t xml:space="preserve">. </w:t>
            </w:r>
          </w:p>
          <w:p w14:paraId="1408822C" w14:textId="1A06164B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Niniejszą pozycję budżetową należy przyporządkować do kategorii: koszty wsparcia uczestników projektu</w:t>
            </w:r>
            <w:r w:rsidR="001623E9">
              <w:rPr>
                <w:rFonts w:ascii="Arial" w:hAnsi="Arial" w:cs="Arial"/>
              </w:rPr>
              <w:t xml:space="preserve"> oraz podmiotów objętych wsparciem</w:t>
            </w:r>
            <w:r>
              <w:rPr>
                <w:rFonts w:ascii="Arial" w:hAnsi="Arial" w:cs="Arial"/>
              </w:rPr>
              <w:t>.</w:t>
            </w:r>
            <w:r w:rsidR="001623E9">
              <w:rPr>
                <w:rFonts w:ascii="Arial" w:hAnsi="Arial" w:cs="Arial"/>
              </w:rPr>
              <w:t xml:space="preserve"> </w:t>
            </w:r>
          </w:p>
          <w:p w14:paraId="25769D84" w14:textId="77777777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401431">
              <w:rPr>
                <w:rFonts w:ascii="Arial" w:hAnsi="Arial" w:cs="Arial"/>
              </w:rPr>
              <w:t>Szczegółowe zasady realizacji staży</w:t>
            </w:r>
            <w:r>
              <w:rPr>
                <w:rFonts w:ascii="Arial" w:hAnsi="Arial" w:cs="Arial"/>
              </w:rPr>
              <w:t xml:space="preserve"> zawodowych</w:t>
            </w:r>
            <w:r w:rsidRPr="00401431">
              <w:rPr>
                <w:rFonts w:ascii="Arial" w:hAnsi="Arial" w:cs="Arial"/>
              </w:rPr>
              <w:t xml:space="preserve"> zostały wskazane w definicji kryterium nr C.</w:t>
            </w:r>
            <w:r>
              <w:rPr>
                <w:rFonts w:ascii="Arial" w:hAnsi="Arial" w:cs="Arial"/>
              </w:rPr>
              <w:t>6</w:t>
            </w:r>
            <w:r w:rsidRPr="00401431">
              <w:rPr>
                <w:rFonts w:ascii="Arial" w:hAnsi="Arial" w:cs="Arial"/>
              </w:rPr>
              <w:t xml:space="preserve"> w załączniku nr 1 do Regulaminu naboru.</w:t>
            </w:r>
          </w:p>
          <w:p w14:paraId="5B662F06" w14:textId="77777777" w:rsidR="007F6729" w:rsidRPr="00742A4F" w:rsidRDefault="007F6729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7F6729" w:rsidRPr="008C776F" w14:paraId="78B13A42" w14:textId="77777777" w:rsidTr="004357C6">
        <w:trPr>
          <w:trHeight w:val="1191"/>
        </w:trPr>
        <w:tc>
          <w:tcPr>
            <w:tcW w:w="709" w:type="dxa"/>
          </w:tcPr>
          <w:p w14:paraId="47FBB647" w14:textId="4CC0A4EE" w:rsidR="007F6729" w:rsidRDefault="00C027C5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6</w:t>
            </w:r>
          </w:p>
        </w:tc>
        <w:tc>
          <w:tcPr>
            <w:tcW w:w="2835" w:type="dxa"/>
          </w:tcPr>
          <w:p w14:paraId="1E8CA91F" w14:textId="6A555261" w:rsidR="007F6729" w:rsidRPr="00515367" w:rsidRDefault="003456DF" w:rsidP="000E2C73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515367">
              <w:rPr>
                <w:rFonts w:ascii="Arial" w:hAnsi="Arial" w:cs="Arial"/>
                <w:b/>
                <w:bCs/>
              </w:rPr>
              <w:t>Staże uczniowskie – stawka jednostkowa</w:t>
            </w:r>
          </w:p>
        </w:tc>
        <w:tc>
          <w:tcPr>
            <w:tcW w:w="5528" w:type="dxa"/>
          </w:tcPr>
          <w:p w14:paraId="54CCEA5C" w14:textId="2090796D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6D68B2">
              <w:rPr>
                <w:rFonts w:ascii="Arial" w:hAnsi="Arial" w:cs="Arial"/>
              </w:rPr>
              <w:t>- staże uczniowskie, w rozumieniu ustawy z dnia 14 grudnia 2016 r. – Prawo oświatowe, powinny być realizowane z zachowaniem najwyższych standardów jakości, na zasadach określonych w tej ustawie, tak aby ułatwiały uzyskanie</w:t>
            </w:r>
            <w:r w:rsidR="009961AC" w:rsidRPr="006D68B2">
              <w:rPr>
                <w:rFonts w:ascii="Arial" w:hAnsi="Arial" w:cs="Arial"/>
              </w:rPr>
              <w:t xml:space="preserve"> </w:t>
            </w:r>
            <w:r w:rsidRPr="006D68B2">
              <w:rPr>
                <w:rFonts w:ascii="Arial" w:hAnsi="Arial" w:cs="Arial"/>
              </w:rPr>
              <w:t xml:space="preserve">doświadczenia i nabywania umiejętności praktycznych niezbędnych do wykonywania pracy w zawodzie i muszą być obowiązkowo rozliczane z wykorzystaniem stawki jednostkowej, a także monitorowane za pomocą wskaźnika </w:t>
            </w:r>
            <w:r w:rsidR="00D36D6C">
              <w:rPr>
                <w:rFonts w:ascii="Arial" w:hAnsi="Arial" w:cs="Arial"/>
              </w:rPr>
              <w:t xml:space="preserve">LWK 2021 dla EFS+ </w:t>
            </w:r>
            <w:r w:rsidRPr="006D68B2">
              <w:rPr>
                <w:rFonts w:ascii="Arial" w:hAnsi="Arial" w:cs="Arial"/>
              </w:rPr>
              <w:t>Liczba uczniów szkół i placówek kształcenia zawodowego uczestniczących w stażach uczniowskich, którego wartość docelowa jest określana we wniosku o dofinansowanie;</w:t>
            </w:r>
          </w:p>
          <w:p w14:paraId="670AC535" w14:textId="79EA1961" w:rsidR="00D36D6C" w:rsidRPr="006D68B2" w:rsidRDefault="00D36D6C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</w:t>
            </w:r>
            <w:r w:rsidRPr="00D36D6C">
              <w:rPr>
                <w:rFonts w:ascii="Arial" w:hAnsi="Arial" w:cs="Arial"/>
              </w:rPr>
              <w:t>ealizacja staży uczniowskich musi być zgodna z zapisami art. 121a Ustawy – Prawo oświatowe.</w:t>
            </w:r>
          </w:p>
          <w:p w14:paraId="5447C04F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6D68B2">
              <w:rPr>
                <w:rFonts w:ascii="Arial" w:hAnsi="Arial" w:cs="Arial"/>
              </w:rPr>
              <w:t xml:space="preserve">- </w:t>
            </w:r>
            <w:r w:rsidRPr="00515367">
              <w:rPr>
                <w:rFonts w:ascii="Arial" w:hAnsi="Arial" w:cs="Arial"/>
              </w:rPr>
              <w:t xml:space="preserve">staże uczniowskie muszą być realizowane dla uczniów branżowych szkół I stopnia niebędących </w:t>
            </w:r>
            <w:r w:rsidRPr="00515367">
              <w:rPr>
                <w:rFonts w:ascii="Arial" w:hAnsi="Arial" w:cs="Arial"/>
              </w:rPr>
              <w:lastRenderedPageBreak/>
              <w:t xml:space="preserve">młodocianymi pracownikami lub uczniów techników; </w:t>
            </w:r>
          </w:p>
          <w:p w14:paraId="5FA97E53" w14:textId="77777777" w:rsidR="003456DF" w:rsidRPr="00515367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są realizowane dla co najmniej 25% uczniów biorących udział w projekcie;</w:t>
            </w:r>
          </w:p>
          <w:p w14:paraId="04601803" w14:textId="77777777" w:rsidR="003456DF" w:rsidRPr="006D68B2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staż uczniowski jest rozliczany wyłącznie w oparciu o stawkę jednostkową i trwa co najwyżej 160 godzin</w:t>
            </w:r>
            <w:r w:rsidRPr="006D68B2">
              <w:rPr>
                <w:rFonts w:ascii="Arial" w:hAnsi="Arial" w:cs="Arial"/>
              </w:rPr>
              <w:t>;</w:t>
            </w:r>
          </w:p>
          <w:p w14:paraId="1540D03F" w14:textId="5074D747" w:rsidR="007F6729" w:rsidRPr="00515367" w:rsidRDefault="003456DF" w:rsidP="00C027C5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- podmiot przyjmujący na staż uczniowski zapewnia uczniowi stanowisko pracy wyposażone w niezbędne urządzenia, sprzęt, narzędzia, materiały i dokumentację techniczną, uwzględniające wymagania bezpieczeństwa i higieny pracy, a także bezpieczne i higieniczne warunki odbywania stażu uczniowskiego na zasadach dotyczących pracowników, określonych w odrębnych przepisach, w tym w zależności od rodzaju zagrożeń związanych z odbywaniem stażu uczniowskiego – odpowiednie środki ochrony indywidualnej; stanowisko powinno być przygotowane w momencie rozpoczęcia stażu; przed rozpoczęciem stażu uczniowskiego, z wykorzystaniem urządzeń, sprzętu i narzędzi, uczniów zaznajamia się z zasadami i metodami pracy zapewniającymi bezpieczeństwo i higienę pracy przy wykonywaniu czynności na danym stanowisku</w:t>
            </w:r>
            <w:r w:rsidR="00C027C5">
              <w:rPr>
                <w:rFonts w:ascii="Arial" w:hAnsi="Arial" w:cs="Arial"/>
              </w:rPr>
              <w:t>.</w:t>
            </w:r>
          </w:p>
        </w:tc>
        <w:tc>
          <w:tcPr>
            <w:tcW w:w="5245" w:type="dxa"/>
          </w:tcPr>
          <w:p w14:paraId="0971782B" w14:textId="77777777" w:rsidR="003456DF" w:rsidRPr="006D68B2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>Szczegółowe zasady realizacji staży uczniowskich zostały wskazane w definicji kryterium nr C.9 w załączniku nr 1 do Regulaminu naboru.</w:t>
            </w:r>
          </w:p>
          <w:p w14:paraId="7E0D3274" w14:textId="27440FBF" w:rsidR="003456DF" w:rsidRDefault="003456DF" w:rsidP="003456D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Koszt należy przypisać do kategorii: koszty wsparcia uczestników projektu</w:t>
            </w:r>
            <w:r w:rsidR="001623E9">
              <w:rPr>
                <w:rFonts w:ascii="Arial" w:hAnsi="Arial" w:cs="Arial"/>
              </w:rPr>
              <w:t xml:space="preserve"> oraz podmiotów objętych wsparciem</w:t>
            </w:r>
            <w:r w:rsidRPr="00515367">
              <w:rPr>
                <w:rFonts w:ascii="Arial" w:hAnsi="Arial" w:cs="Arial"/>
              </w:rPr>
              <w:t>.</w:t>
            </w:r>
          </w:p>
          <w:p w14:paraId="7281CD63" w14:textId="77777777" w:rsidR="007F6729" w:rsidRPr="00742A4F" w:rsidRDefault="007F6729" w:rsidP="000E2C73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DD38A71" w14:textId="77777777" w:rsidR="006D68B2" w:rsidRDefault="006D68B2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97CC5C3" w14:textId="0E723121" w:rsidR="00B64179" w:rsidRDefault="003456DF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Stawka jednostkowa na staże uczniowskie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4070"/>
        <w:gridCol w:w="3498"/>
        <w:gridCol w:w="3498"/>
        <w:gridCol w:w="3498"/>
      </w:tblGrid>
      <w:tr w:rsidR="009961AC" w14:paraId="2751DEEA" w14:textId="77777777" w:rsidTr="00515367">
        <w:tc>
          <w:tcPr>
            <w:tcW w:w="4070" w:type="dxa"/>
          </w:tcPr>
          <w:p w14:paraId="5F8D29E9" w14:textId="2FB203D9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Wysokość stawki jednostkowej</w:t>
            </w:r>
          </w:p>
        </w:tc>
        <w:tc>
          <w:tcPr>
            <w:tcW w:w="3498" w:type="dxa"/>
          </w:tcPr>
          <w:p w14:paraId="458DB6BF" w14:textId="1899590E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Zakres stawki jednostkowej</w:t>
            </w:r>
          </w:p>
        </w:tc>
        <w:tc>
          <w:tcPr>
            <w:tcW w:w="3498" w:type="dxa"/>
          </w:tcPr>
          <w:p w14:paraId="68A894D3" w14:textId="54B46304" w:rsidR="009961AC" w:rsidRPr="00515367" w:rsidRDefault="009961AC" w:rsidP="009961AC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Nazwa i definicja wskaźnika rozliczającego stawkę jednostkową</w:t>
            </w:r>
          </w:p>
        </w:tc>
        <w:tc>
          <w:tcPr>
            <w:tcW w:w="3498" w:type="dxa"/>
          </w:tcPr>
          <w:p w14:paraId="266261E2" w14:textId="2A93C7BA" w:rsidR="009961AC" w:rsidRPr="00515367" w:rsidRDefault="009961AC" w:rsidP="00B64179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Dokumenty potwierdzające kwalifikowalność stawek</w:t>
            </w:r>
          </w:p>
        </w:tc>
      </w:tr>
      <w:tr w:rsidR="009961AC" w14:paraId="7B79DD9F" w14:textId="77777777" w:rsidTr="00515367">
        <w:tc>
          <w:tcPr>
            <w:tcW w:w="4070" w:type="dxa"/>
          </w:tcPr>
          <w:p w14:paraId="3E716697" w14:textId="3503876B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24,84 zł </w:t>
            </w:r>
            <w:r w:rsidR="001111F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 godzinę prowadzenia stażu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(do 30 czerwca 2023 r.)</w:t>
            </w:r>
          </w:p>
          <w:p w14:paraId="259B8624" w14:textId="7F88E0B8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25,61 zł </w:t>
            </w:r>
            <w:r w:rsidR="001111F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za godzinę prowadzenia stażu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(od 1 lipca 2023 r.)</w:t>
            </w:r>
          </w:p>
          <w:p w14:paraId="0AE1793F" w14:textId="0319A91F" w:rsidR="009961AC" w:rsidRPr="00515367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Stawka może podlegać indeksacji w projekcie na zasadach określonych w umowie o dofinansowanie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15367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498" w:type="dxa"/>
          </w:tcPr>
          <w:p w14:paraId="27E9A715" w14:textId="1C69F370" w:rsidR="009961AC" w:rsidRPr="00515367" w:rsidRDefault="006D68B2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961AC" w:rsidRPr="00515367">
              <w:rPr>
                <w:rFonts w:ascii="Arial" w:hAnsi="Arial" w:cs="Arial"/>
              </w:rPr>
              <w:t>tawka jednostkowa obejmuje wszystkie niezbędne koszty związane z organizacją i prowadzeniem stażu uczniowskiego, tj. koszty:</w:t>
            </w:r>
          </w:p>
          <w:p w14:paraId="49BB96B0" w14:textId="1CBA3B6D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 xml:space="preserve">a. 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3C90B168" w14:textId="55C4405E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b. zakupu niezbędnych materiałów i narzędzi zużywalnych niezbędnych uczniowi do odbycia stażu uczniowskiego;</w:t>
            </w:r>
          </w:p>
          <w:p w14:paraId="15F2C9F6" w14:textId="3DEB4A14" w:rsidR="009961AC" w:rsidRPr="00515367" w:rsidRDefault="009961AC" w:rsidP="006D68B2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c. szkolenia BHP przed rozpoczęciem stażu uczniowskiego;</w:t>
            </w:r>
          </w:p>
          <w:p w14:paraId="1E3A9A6A" w14:textId="2E4EA17F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lastRenderedPageBreak/>
              <w:t>d. badań lekarskich przed rozpoczęciem stażu uczniowskiego (o ile są wymagane);</w:t>
            </w:r>
          </w:p>
          <w:p w14:paraId="4942A940" w14:textId="65831792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e. wynagrodzenia opiekuna stażysty podczas odbywania stażu uczniowskiego;</w:t>
            </w:r>
          </w:p>
          <w:p w14:paraId="1D63E6CD" w14:textId="3D73C780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f. wyżywienia podczas stażu uczniowskiego (o ile zasadne);</w:t>
            </w:r>
          </w:p>
          <w:p w14:paraId="1C9A0531" w14:textId="61CFB2A2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g. noclegów i opieki nad stażystami w bursie itp. (o ile zasadne);</w:t>
            </w:r>
          </w:p>
          <w:p w14:paraId="5BC5DD8D" w14:textId="0DD82E9D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h. dojazdów do/z miejsca odbywania stażu uczniowskiego;</w:t>
            </w:r>
          </w:p>
          <w:p w14:paraId="06F52F3F" w14:textId="0410C104" w:rsidR="009961AC" w:rsidRPr="00515367" w:rsidRDefault="009961AC" w:rsidP="00515367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515367">
              <w:rPr>
                <w:rFonts w:ascii="Arial" w:hAnsi="Arial" w:cs="Arial"/>
              </w:rPr>
              <w:t>i. zakupu dzienniczków i innych materiałów niezbędnych do przeprowadzenia stażu uczniowskiego.</w:t>
            </w:r>
          </w:p>
        </w:tc>
        <w:tc>
          <w:tcPr>
            <w:tcW w:w="3498" w:type="dxa"/>
          </w:tcPr>
          <w:p w14:paraId="15632A07" w14:textId="1C925B10" w:rsidR="009961AC" w:rsidRPr="006D68B2" w:rsidRDefault="009961AC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 Liczba zrealizowanych godzin stażu uczniowskiego</w:t>
            </w:r>
            <w:r w:rsidR="006D68B2"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BD5292E" w14:textId="77777777" w:rsidR="009961AC" w:rsidRPr="006D68B2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" w:hAnsi="Arial" w:cs="Arial"/>
                <w:color w:val="000000" w:themeColor="text1"/>
                <w:sz w:val="24"/>
                <w:szCs w:val="24"/>
              </w:rPr>
              <w:t>Jednostka miary: osobogodziny</w:t>
            </w:r>
          </w:p>
          <w:p w14:paraId="24DE5FC3" w14:textId="1CFF9B7E" w:rsidR="006D68B2" w:rsidRPr="006D68B2" w:rsidRDefault="006D68B2" w:rsidP="00515367">
            <w:pPr>
              <w:autoSpaceDE w:val="0"/>
              <w:autoSpaceDN w:val="0"/>
              <w:adjustRightInd w:val="0"/>
              <w:spacing w:after="0"/>
              <w:rPr>
                <w:rFonts w:ascii="ArialMT" w:hAnsi="ArialMT" w:cs="ArialMT"/>
                <w:sz w:val="24"/>
                <w:szCs w:val="24"/>
                <w14:ligatures w14:val="standardContextual"/>
              </w:rPr>
            </w:pPr>
            <w:r w:rsidRPr="006D68B2">
              <w:rPr>
                <w:rFonts w:ascii="ArialMT" w:hAnsi="ArialMT" w:cs="ArialMT"/>
                <w:sz w:val="24"/>
                <w:szCs w:val="24"/>
                <w14:ligatures w14:val="standardContextual"/>
              </w:rPr>
              <w:t>Wskaźnik ten mierzy liczbę godzin zegarowych</w:t>
            </w:r>
          </w:p>
          <w:p w14:paraId="072230B3" w14:textId="020C8AD2" w:rsidR="006D68B2" w:rsidRPr="00515367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D68B2">
              <w:rPr>
                <w:rFonts w:ascii="ArialMT" w:hAnsi="ArialMT" w:cs="ArialMT"/>
                <w:sz w:val="24"/>
                <w:szCs w:val="24"/>
                <w14:ligatures w14:val="standardContextual"/>
              </w:rPr>
              <w:t>stażu uczniowskiego zrealizowanego przez jednego uczestnika projektu.</w:t>
            </w:r>
          </w:p>
        </w:tc>
        <w:tc>
          <w:tcPr>
            <w:tcW w:w="3498" w:type="dxa"/>
          </w:tcPr>
          <w:p w14:paraId="45B2E7F8" w14:textId="18ABC357" w:rsidR="009961AC" w:rsidRPr="00515367" w:rsidRDefault="006D68B2" w:rsidP="006D68B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Pr="009961AC">
              <w:rPr>
                <w:rFonts w:ascii="Arial" w:hAnsi="Arial" w:cs="Arial"/>
                <w:color w:val="000000" w:themeColor="text1"/>
                <w:sz w:val="24"/>
                <w:szCs w:val="24"/>
              </w:rPr>
              <w:t>skaźnik mierzony jest na koniec każdego miesiąca na podstawie list obecności lub wydruków z systemu elektronicznego zawierających informację nt. liczby godzin stażu w każdym dniu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961AC">
              <w:rPr>
                <w:rFonts w:ascii="Arial" w:hAnsi="Arial" w:cs="Arial"/>
                <w:color w:val="000000" w:themeColor="text1"/>
                <w:sz w:val="24"/>
                <w:szCs w:val="24"/>
              </w:rPr>
              <w:t>odbywania stażu uczniowskiego i potwierdzających obecność stażysty na stażu uczniowskim u pracodawcy w danym miesiącu.</w:t>
            </w:r>
          </w:p>
        </w:tc>
      </w:tr>
    </w:tbl>
    <w:p w14:paraId="2725FDBA" w14:textId="77777777" w:rsidR="004357C6" w:rsidRDefault="004357C6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68DF234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4353B421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861D534" w14:textId="77777777" w:rsidR="00C027C5" w:rsidRDefault="00C027C5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6FDBB44" w14:textId="7D322928" w:rsidR="00B64179" w:rsidRPr="00BE09CA" w:rsidRDefault="00B64179" w:rsidP="00B64179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lastRenderedPageBreak/>
        <w:t>Stawki rynkowe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268"/>
        <w:gridCol w:w="9355"/>
      </w:tblGrid>
      <w:tr w:rsidR="00742A4F" w:rsidRPr="008C776F" w14:paraId="42A45E9E" w14:textId="77777777" w:rsidTr="005E7E03">
        <w:trPr>
          <w:trHeight w:val="1191"/>
        </w:trPr>
        <w:tc>
          <w:tcPr>
            <w:tcW w:w="709" w:type="dxa"/>
          </w:tcPr>
          <w:p w14:paraId="52BB9A3D" w14:textId="131B005C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977" w:type="dxa"/>
          </w:tcPr>
          <w:p w14:paraId="0218EC2F" w14:textId="50EDB1C2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Obiad</w:t>
            </w:r>
            <w:r w:rsidRPr="008C776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dla uczniów podczas wyjazdów edukacyjnych</w:t>
            </w:r>
          </w:p>
        </w:tc>
        <w:tc>
          <w:tcPr>
            <w:tcW w:w="2268" w:type="dxa"/>
          </w:tcPr>
          <w:p w14:paraId="11296845" w14:textId="49C94CCC" w:rsidR="00742A4F" w:rsidRPr="005E7E0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noProof/>
                <w:highlight w:val="yellow"/>
              </w:rPr>
            </w:pPr>
            <w:r w:rsidRPr="00EC2CDF">
              <w:rPr>
                <w:rFonts w:ascii="Arial" w:hAnsi="Arial" w:cs="Arial"/>
                <w:noProof/>
              </w:rPr>
              <w:t>50 zł/zestaw</w:t>
            </w:r>
          </w:p>
        </w:tc>
        <w:tc>
          <w:tcPr>
            <w:tcW w:w="9355" w:type="dxa"/>
          </w:tcPr>
          <w:p w14:paraId="4A940879" w14:textId="77777777" w:rsidR="00742A4F" w:rsidRPr="00EC2CDF" w:rsidRDefault="00742A4F" w:rsidP="00742A4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Koszt obejmuje dwa dania (zupa i drugie danie) oraz napój, przy czym istnieje możliwość szerszego zakresu usługi, o ile mieści się w określonej cenie rynkowej.</w:t>
            </w:r>
          </w:p>
          <w:p w14:paraId="10A7CF2E" w14:textId="2C15E60C" w:rsidR="00742A4F" w:rsidRPr="00D17C19" w:rsidRDefault="00742A4F" w:rsidP="00742A4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noProof/>
                <w:color w:val="000000"/>
                <w:sz w:val="24"/>
                <w:szCs w:val="24"/>
                <w:highlight w:val="yellow"/>
              </w:rPr>
            </w:pPr>
            <w:r w:rsidRPr="00EC2CDF">
              <w:rPr>
                <w:rFonts w:ascii="Arial" w:hAnsi="Arial" w:cs="Arial"/>
                <w:bCs/>
                <w:noProof/>
                <w:color w:val="000000"/>
                <w:sz w:val="24"/>
                <w:szCs w:val="24"/>
              </w:rPr>
              <w:t>Cena rynkowa powinna być uzależniona od rodzaju oferowanej usługi i jest niższa, jeśli finansowany jest mniejszy zakres usługi (np. obiad składający się tylko z drugiego dania i napoju).</w:t>
            </w:r>
          </w:p>
        </w:tc>
      </w:tr>
      <w:tr w:rsidR="00742A4F" w:rsidRPr="008C776F" w14:paraId="359B9BF3" w14:textId="77777777" w:rsidTr="005E7E03">
        <w:trPr>
          <w:trHeight w:val="1191"/>
        </w:trPr>
        <w:tc>
          <w:tcPr>
            <w:tcW w:w="709" w:type="dxa"/>
          </w:tcPr>
          <w:p w14:paraId="36CEB09C" w14:textId="57905915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977" w:type="dxa"/>
          </w:tcPr>
          <w:p w14:paraId="325A2903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Koszty dojazdu</w:t>
            </w:r>
          </w:p>
        </w:tc>
        <w:tc>
          <w:tcPr>
            <w:tcW w:w="2268" w:type="dxa"/>
          </w:tcPr>
          <w:p w14:paraId="47E437D9" w14:textId="29A977E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 zależności od miejsca zamieszkania ucz</w:t>
            </w:r>
            <w:r w:rsidR="00B26E66">
              <w:rPr>
                <w:rFonts w:ascii="Arial" w:hAnsi="Arial" w:cs="Arial"/>
              </w:rPr>
              <w:t>estnika</w:t>
            </w:r>
            <w:r w:rsidRPr="00D17C19">
              <w:rPr>
                <w:rFonts w:ascii="Arial" w:hAnsi="Arial" w:cs="Arial"/>
              </w:rPr>
              <w:t xml:space="preserve"> i miejsca odbywania </w:t>
            </w:r>
            <w:r>
              <w:rPr>
                <w:rFonts w:ascii="Arial" w:hAnsi="Arial" w:cs="Arial"/>
              </w:rPr>
              <w:t>wsparcia</w:t>
            </w:r>
          </w:p>
        </w:tc>
        <w:tc>
          <w:tcPr>
            <w:tcW w:w="9355" w:type="dxa"/>
          </w:tcPr>
          <w:p w14:paraId="193F5EEB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 xml:space="preserve">W oparciu o </w:t>
            </w:r>
            <w:r w:rsidRPr="00D17C19">
              <w:rPr>
                <w:rFonts w:ascii="Arial" w:hAnsi="Arial" w:cs="Arial"/>
                <w:b/>
                <w:bCs/>
              </w:rPr>
              <w:t xml:space="preserve">cennik operatora komunikacji publicznej </w:t>
            </w:r>
            <w:r w:rsidRPr="00D17C19">
              <w:rPr>
                <w:rFonts w:ascii="Arial" w:hAnsi="Arial" w:cs="Arial"/>
              </w:rPr>
              <w:t xml:space="preserve">(do wysokości opłat za środki transportu publicznego szynowego lub kołowego zgodnie z cennikiem biletów II klasy obowiązującym na danym obszarze), także w przypadku korzystania ze środków transportu prywatnego (w szczególności samochodem). </w:t>
            </w:r>
          </w:p>
          <w:p w14:paraId="2F29241B" w14:textId="31BF5B20" w:rsidR="00742A4F" w:rsidRPr="00D17C19" w:rsidRDefault="00B26E6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</w:t>
            </w:r>
            <w:r w:rsidR="00742A4F" w:rsidRPr="00D17C19">
              <w:rPr>
                <w:rFonts w:ascii="Arial" w:hAnsi="Arial" w:cs="Arial"/>
              </w:rPr>
              <w:t xml:space="preserve"> dopuszcza również możliwość korzystania przez uczniów z usług przewoźników prywatnych, jeżeli jest to racjonalne (tj. danej trasy nie obsługuje tańszy przewoźnik publiczny, trasa jest obsługiwana przez przewoźnika publicznego w nieadekwatnych godzinach albo ceny usług przewoźnika prywatnego i publicznego są zbliżone). </w:t>
            </w:r>
          </w:p>
          <w:p w14:paraId="60C8646C" w14:textId="77777777" w:rsidR="00B26E66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We wniosku należy zamieścić uzasadnienie dla założonego poziomu kosztu dojazdu ucz</w:t>
            </w:r>
            <w:r w:rsidR="00B26E66">
              <w:rPr>
                <w:rFonts w:ascii="Arial" w:hAnsi="Arial" w:cs="Arial"/>
              </w:rPr>
              <w:t xml:space="preserve">estników. </w:t>
            </w:r>
          </w:p>
          <w:p w14:paraId="585AE544" w14:textId="4EF43562" w:rsidR="00742A4F" w:rsidRPr="00D17C19" w:rsidRDefault="00B26E66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Pozycja ta nie dotyczy transportu uczniów na zajęcia dodatkowe.</w:t>
            </w:r>
            <w:r w:rsidR="00742A4F" w:rsidRPr="00D17C19">
              <w:rPr>
                <w:rFonts w:ascii="Arial" w:hAnsi="Arial" w:cs="Arial"/>
              </w:rPr>
              <w:t xml:space="preserve"> </w:t>
            </w:r>
          </w:p>
        </w:tc>
      </w:tr>
      <w:tr w:rsidR="00742A4F" w:rsidRPr="008C776F" w14:paraId="638F740B" w14:textId="77777777" w:rsidTr="005E7E03">
        <w:trPr>
          <w:trHeight w:val="1191"/>
        </w:trPr>
        <w:tc>
          <w:tcPr>
            <w:tcW w:w="709" w:type="dxa"/>
          </w:tcPr>
          <w:p w14:paraId="2DBA94B1" w14:textId="0B85323B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977" w:type="dxa"/>
          </w:tcPr>
          <w:p w14:paraId="69E714DA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 xml:space="preserve">Koszt organizacji wyjazdów dla uczniów </w:t>
            </w:r>
          </w:p>
        </w:tc>
        <w:tc>
          <w:tcPr>
            <w:tcW w:w="2268" w:type="dxa"/>
          </w:tcPr>
          <w:p w14:paraId="6117E521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</w:t>
            </w:r>
          </w:p>
        </w:tc>
        <w:tc>
          <w:tcPr>
            <w:tcW w:w="9355" w:type="dxa"/>
          </w:tcPr>
          <w:p w14:paraId="6CBE1F71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D17C19">
              <w:rPr>
                <w:rFonts w:ascii="Arial" w:eastAsia="Calibri" w:hAnsi="Arial" w:cs="Arial"/>
                <w:bCs/>
              </w:rPr>
              <w:t>Koszt wymaga uzasadnienia, w którym zostaną zawarte informacje dotyczące:</w:t>
            </w:r>
          </w:p>
          <w:p w14:paraId="54C926F0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  <w:i/>
              </w:rPr>
            </w:pPr>
            <w:r w:rsidRPr="00D17C19">
              <w:rPr>
                <w:rFonts w:ascii="Arial" w:eastAsia="Calibri" w:hAnsi="Arial" w:cs="Arial"/>
                <w:bCs/>
              </w:rPr>
              <w:t>– przewidywanej liczby uczestników,</w:t>
            </w:r>
          </w:p>
          <w:p w14:paraId="43E7ACD0" w14:textId="77777777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przewidywanego czas trwania wyjazdu,</w:t>
            </w:r>
          </w:p>
          <w:p w14:paraId="29DD896C" w14:textId="561C2A4B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 w:rsidRPr="00D17C19">
              <w:rPr>
                <w:rFonts w:ascii="Arial" w:hAnsi="Arial" w:cs="Arial"/>
              </w:rPr>
              <w:t>– sposobu kalkulacji kosztu (przykładowego katalogu wydatków, np. bilety wstępu</w:t>
            </w:r>
            <w:r w:rsidR="00B26E66">
              <w:rPr>
                <w:rFonts w:ascii="Arial" w:hAnsi="Arial" w:cs="Arial"/>
              </w:rPr>
              <w:t>, k</w:t>
            </w:r>
            <w:r w:rsidRPr="00D17C19">
              <w:rPr>
                <w:rFonts w:ascii="Arial" w:hAnsi="Arial" w:cs="Arial"/>
              </w:rPr>
              <w:t>oszt transportu itd. wraz z cenami).</w:t>
            </w:r>
          </w:p>
        </w:tc>
      </w:tr>
      <w:tr w:rsidR="00742A4F" w:rsidRPr="008C776F" w14:paraId="2CAA02B6" w14:textId="77777777" w:rsidTr="00022ADF">
        <w:trPr>
          <w:trHeight w:val="849"/>
        </w:trPr>
        <w:tc>
          <w:tcPr>
            <w:tcW w:w="709" w:type="dxa"/>
          </w:tcPr>
          <w:p w14:paraId="1163C050" w14:textId="552DD29B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4</w:t>
            </w:r>
          </w:p>
        </w:tc>
        <w:tc>
          <w:tcPr>
            <w:tcW w:w="2977" w:type="dxa"/>
          </w:tcPr>
          <w:p w14:paraId="3AD56945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 w:rsidRPr="008C776F">
              <w:rPr>
                <w:rFonts w:ascii="Arial" w:hAnsi="Arial" w:cs="Arial"/>
                <w:b/>
                <w:bCs/>
              </w:rPr>
              <w:t>Koszt udostępniania sal lekcyjnych (wkład niepieniężny)</w:t>
            </w:r>
          </w:p>
        </w:tc>
        <w:tc>
          <w:tcPr>
            <w:tcW w:w="2268" w:type="dxa"/>
          </w:tcPr>
          <w:p w14:paraId="28345C5A" w14:textId="2E731F83" w:rsidR="00742A4F" w:rsidRPr="00D17C19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</w:t>
            </w:r>
            <w:r w:rsidRPr="008C6F44">
              <w:rPr>
                <w:rFonts w:ascii="Arial" w:hAnsi="Arial" w:cs="Arial"/>
              </w:rPr>
              <w:t>0 zł/godzina</w:t>
            </w:r>
          </w:p>
        </w:tc>
        <w:tc>
          <w:tcPr>
            <w:tcW w:w="9355" w:type="dxa"/>
          </w:tcPr>
          <w:p w14:paraId="079A4DE3" w14:textId="77777777" w:rsidR="00742A4F" w:rsidRPr="008C6F44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Koszt dotyczy sali lekcyjnej umożliwiającej przeprowadzenie zajęć dla grupy 20 uczniów oraz spełniającej wymogi higieniczno-sanitarne i przeciwpożarowe. Koszt uwzględnia podstawowe wyposażenie w krzesła, biurko, ławki i tablice.  </w:t>
            </w:r>
          </w:p>
          <w:p w14:paraId="4689B2CA" w14:textId="77777777" w:rsidR="00022ADF" w:rsidRDefault="00742A4F" w:rsidP="00022AD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Stawka nie może uwzględnia cen za media.</w:t>
            </w:r>
            <w:r>
              <w:rPr>
                <w:rFonts w:ascii="Arial" w:eastAsia="Calibri" w:hAnsi="Arial" w:cs="Arial"/>
                <w:bCs/>
              </w:rPr>
              <w:t xml:space="preserve"> </w:t>
            </w:r>
            <w:r w:rsidR="00022ADF">
              <w:rPr>
                <w:rFonts w:ascii="Arial" w:eastAsia="Calibri" w:hAnsi="Arial" w:cs="Arial"/>
                <w:bCs/>
              </w:rPr>
              <w:br/>
            </w:r>
            <w:r w:rsidRPr="008C6F44">
              <w:rPr>
                <w:rFonts w:ascii="Arial" w:eastAsia="Calibri" w:hAnsi="Arial" w:cs="Arial"/>
                <w:bCs/>
              </w:rPr>
              <w:t>Wkładem własnym niepieniężnym mo</w:t>
            </w:r>
            <w:r w:rsidR="00022ADF">
              <w:rPr>
                <w:rFonts w:ascii="Arial" w:eastAsia="Calibri" w:hAnsi="Arial" w:cs="Arial"/>
                <w:bCs/>
              </w:rPr>
              <w:t xml:space="preserve">gą </w:t>
            </w:r>
            <w:r w:rsidRPr="008C6F44">
              <w:rPr>
                <w:rFonts w:ascii="Arial" w:eastAsia="Calibri" w:hAnsi="Arial" w:cs="Arial"/>
                <w:bCs/>
              </w:rPr>
              <w:t xml:space="preserve">być </w:t>
            </w:r>
            <w:r w:rsidR="00022ADF">
              <w:rPr>
                <w:rFonts w:ascii="Arial" w:eastAsia="Calibri" w:hAnsi="Arial" w:cs="Arial"/>
                <w:bCs/>
              </w:rPr>
              <w:t>wyłącznie s</w:t>
            </w:r>
            <w:r w:rsidRPr="008C6F44">
              <w:rPr>
                <w:rFonts w:ascii="Arial" w:eastAsia="Calibri" w:hAnsi="Arial" w:cs="Arial"/>
                <w:bCs/>
              </w:rPr>
              <w:t>al</w:t>
            </w:r>
            <w:r w:rsidR="00022ADF">
              <w:rPr>
                <w:rFonts w:ascii="Arial" w:eastAsia="Calibri" w:hAnsi="Arial" w:cs="Arial"/>
                <w:bCs/>
              </w:rPr>
              <w:t>e stanowiące własność lidera lub partnera projektu lub bezpłatnie im użyczone przez inne podmioty.</w:t>
            </w:r>
          </w:p>
          <w:p w14:paraId="50B7A460" w14:textId="05EE856E" w:rsidR="00742A4F" w:rsidRDefault="00022AD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</w:t>
            </w:r>
            <w:r w:rsidR="00742A4F" w:rsidRPr="008C6F44">
              <w:rPr>
                <w:rFonts w:ascii="Arial" w:eastAsia="Calibri" w:hAnsi="Arial" w:cs="Arial"/>
                <w:bCs/>
              </w:rPr>
              <w:t xml:space="preserve"> uzasadnieniu wydatków pod budżetem we wniosku o dofinansowanie wska</w:t>
            </w:r>
            <w:r>
              <w:rPr>
                <w:rFonts w:ascii="Arial" w:eastAsia="Calibri" w:hAnsi="Arial" w:cs="Arial"/>
                <w:bCs/>
              </w:rPr>
              <w:t>ż</w:t>
            </w:r>
            <w:r w:rsidR="00742A4F" w:rsidRPr="008C6F44">
              <w:rPr>
                <w:rFonts w:ascii="Arial" w:eastAsia="Calibri" w:hAnsi="Arial" w:cs="Arial"/>
                <w:bCs/>
              </w:rPr>
              <w:t>:</w:t>
            </w:r>
          </w:p>
          <w:p w14:paraId="616FD339" w14:textId="0EB8B9AA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cenę jednostkową za 1 godzinę udostępnienia (1 h = 45 minut godzina lekcyjna),                                                                                                                                  </w:t>
            </w:r>
          </w:p>
          <w:p w14:paraId="7D6F5DDB" w14:textId="6167CCD3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>- liczbę godzin udostępnienia sal,</w:t>
            </w:r>
          </w:p>
          <w:p w14:paraId="4AAF8393" w14:textId="6DFBB7E1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- </w:t>
            </w:r>
            <w:r w:rsidRPr="000451CE">
              <w:rPr>
                <w:rFonts w:ascii="Arial" w:eastAsia="Calibri" w:hAnsi="Arial" w:cs="Arial"/>
                <w:bCs/>
              </w:rPr>
              <w:t>właściwy dokument, na podstawie którego zatwierdzono stawkę np. uchwała</w:t>
            </w:r>
            <w:r w:rsidR="00022ADF">
              <w:rPr>
                <w:rFonts w:ascii="Arial" w:eastAsia="Calibri" w:hAnsi="Arial" w:cs="Arial"/>
                <w:bCs/>
              </w:rPr>
              <w:t xml:space="preserve"> rady powiatu</w:t>
            </w:r>
            <w:r w:rsidRPr="000451CE">
              <w:rPr>
                <w:rFonts w:ascii="Arial" w:eastAsia="Calibri" w:hAnsi="Arial" w:cs="Arial"/>
                <w:bCs/>
              </w:rPr>
              <w:t>, zarządzenie</w:t>
            </w:r>
            <w:r w:rsidR="00022ADF">
              <w:rPr>
                <w:rFonts w:ascii="Arial" w:eastAsia="Calibri" w:hAnsi="Arial" w:cs="Arial"/>
                <w:bCs/>
              </w:rPr>
              <w:t xml:space="preserve"> dyrektora szkoły</w:t>
            </w:r>
            <w:r>
              <w:rPr>
                <w:rFonts w:ascii="Arial" w:eastAsia="Calibri" w:hAnsi="Arial" w:cs="Arial"/>
                <w:bCs/>
              </w:rPr>
              <w:t>,</w:t>
            </w:r>
          </w:p>
          <w:p w14:paraId="7871BCF4" w14:textId="77777777" w:rsidR="00742A4F" w:rsidRDefault="00742A4F" w:rsidP="00FB2B5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8C6F44">
              <w:rPr>
                <w:rFonts w:ascii="Arial" w:eastAsia="Calibri" w:hAnsi="Arial" w:cs="Arial"/>
                <w:bCs/>
              </w:rPr>
              <w:t xml:space="preserve">- zapis </w:t>
            </w:r>
            <w:r>
              <w:rPr>
                <w:rFonts w:ascii="Arial" w:eastAsia="Calibri" w:hAnsi="Arial" w:cs="Arial"/>
                <w:bCs/>
              </w:rPr>
              <w:t>„</w:t>
            </w:r>
            <w:r w:rsidRPr="008C6F44">
              <w:rPr>
                <w:rFonts w:ascii="Arial" w:eastAsia="Calibri" w:hAnsi="Arial" w:cs="Arial"/>
                <w:bCs/>
              </w:rPr>
              <w:t xml:space="preserve">Sale wraz z ewentualnym wyposażeniem </w:t>
            </w:r>
            <w:r w:rsidR="00022ADF">
              <w:rPr>
                <w:rFonts w:ascii="Arial" w:eastAsia="Calibri" w:hAnsi="Arial" w:cs="Arial"/>
                <w:bCs/>
              </w:rPr>
              <w:t xml:space="preserve">wliczającym się w koszt udostępnienia, </w:t>
            </w:r>
            <w:r w:rsidR="00022ADF" w:rsidRPr="008C6F44">
              <w:rPr>
                <w:rFonts w:ascii="Arial" w:eastAsia="Calibri" w:hAnsi="Arial" w:cs="Arial"/>
                <w:bCs/>
              </w:rPr>
              <w:t>nie były uprzednio współfinansowane ze środków UE</w:t>
            </w:r>
            <w:r w:rsidR="00022ADF">
              <w:rPr>
                <w:rFonts w:ascii="Arial" w:eastAsia="Calibri" w:hAnsi="Arial" w:cs="Arial"/>
                <w:bCs/>
              </w:rPr>
              <w:t>”.</w:t>
            </w:r>
            <w:r w:rsidR="00FB2B51">
              <w:rPr>
                <w:rFonts w:ascii="Arial" w:eastAsia="Calibri" w:hAnsi="Arial" w:cs="Arial"/>
                <w:bCs/>
              </w:rPr>
              <w:t xml:space="preserve"> </w:t>
            </w:r>
            <w:r w:rsidR="00022ADF" w:rsidRPr="007A1981">
              <w:rPr>
                <w:rFonts w:ascii="Arial" w:eastAsia="Calibri" w:hAnsi="Arial" w:cs="Arial"/>
                <w:bCs/>
              </w:rPr>
              <w:t xml:space="preserve"> </w:t>
            </w:r>
          </w:p>
          <w:p w14:paraId="3617DAA1" w14:textId="5A6F9533" w:rsidR="00176389" w:rsidRPr="000451CE" w:rsidRDefault="00176389" w:rsidP="00FB2B51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176389">
              <w:rPr>
                <w:rFonts w:ascii="Arial" w:eastAsia="Calibri" w:hAnsi="Arial" w:cs="Arial"/>
                <w:bCs/>
              </w:rPr>
              <w:t xml:space="preserve">W przypadku, gdy w ramach wkładu własnego niepieniężnego planujesz koszt udostępnienia </w:t>
            </w:r>
            <w:r w:rsidR="00895144">
              <w:rPr>
                <w:rFonts w:ascii="Arial" w:eastAsia="Calibri" w:hAnsi="Arial" w:cs="Arial"/>
                <w:bCs/>
              </w:rPr>
              <w:t>sal</w:t>
            </w:r>
            <w:r w:rsidRPr="00176389">
              <w:rPr>
                <w:rFonts w:ascii="Arial" w:eastAsia="Calibri" w:hAnsi="Arial" w:cs="Arial"/>
                <w:bCs/>
              </w:rPr>
              <w:t xml:space="preserve">w wyższej kwocie – jest to możliwe, o ile udostępniana sala będzie posiadała wyższe parametry (np. dodatkowy funkcjonalny metraż, ponadpodstawowy rodzaj wyposażenia) oraz przedstawisz we wniosku wyjaśnienie/ metodologię </w:t>
            </w:r>
            <w:r w:rsidR="00895144">
              <w:rPr>
                <w:rFonts w:ascii="Arial" w:eastAsia="Calibri" w:hAnsi="Arial" w:cs="Arial"/>
                <w:bCs/>
              </w:rPr>
              <w:t xml:space="preserve">i </w:t>
            </w:r>
            <w:r w:rsidRPr="00176389">
              <w:rPr>
                <w:rFonts w:ascii="Arial" w:eastAsia="Calibri" w:hAnsi="Arial" w:cs="Arial"/>
                <w:bCs/>
              </w:rPr>
              <w:t xml:space="preserve">w (przypadku szkoły publicznej) wskażesz właściwy dokument, na podstawie którego zatwierdzono stawkę (np. uchwała rady powiatu, zarządzenie dyrektora szkoły).   </w:t>
            </w:r>
          </w:p>
        </w:tc>
      </w:tr>
      <w:tr w:rsidR="00742A4F" w:rsidRPr="008C776F" w14:paraId="45FBBC56" w14:textId="77777777" w:rsidTr="005E7E03">
        <w:trPr>
          <w:trHeight w:val="1191"/>
        </w:trPr>
        <w:tc>
          <w:tcPr>
            <w:tcW w:w="709" w:type="dxa"/>
          </w:tcPr>
          <w:p w14:paraId="1136C0A2" w14:textId="389F01A5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977" w:type="dxa"/>
          </w:tcPr>
          <w:p w14:paraId="7C88C962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Laptop</w:t>
            </w:r>
          </w:p>
        </w:tc>
        <w:tc>
          <w:tcPr>
            <w:tcW w:w="2268" w:type="dxa"/>
          </w:tcPr>
          <w:p w14:paraId="26A2C032" w14:textId="43789E8A" w:rsidR="00742A4F" w:rsidRPr="001B767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3D0572">
              <w:rPr>
                <w:rFonts w:ascii="Arial" w:hAnsi="Arial" w:cs="Arial"/>
              </w:rPr>
              <w:t>4 000 zł/sztuka</w:t>
            </w:r>
          </w:p>
        </w:tc>
        <w:tc>
          <w:tcPr>
            <w:tcW w:w="9355" w:type="dxa"/>
          </w:tcPr>
          <w:p w14:paraId="21C3EA8E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wydatek kwalifikowalny w przypadku, gdy jest uzasadniony specyfiką realizowanego projektu i potrzebami grupy docelowej;</w:t>
            </w:r>
          </w:p>
          <w:p w14:paraId="740A047A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wydatek kwalifikowalny, w przypadku, gdy wnioskodawca nie posiada wystarczającego zaplecza technicznego do udzielania wsparcia uczestnikom projektu;</w:t>
            </w:r>
          </w:p>
          <w:p w14:paraId="3F5AB3AE" w14:textId="77777777" w:rsidR="004357C6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minimalne parametry:</w:t>
            </w:r>
          </w:p>
          <w:p w14:paraId="15AC01B1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przekątna ekranu: 15,6 cala</w:t>
            </w:r>
            <w:r>
              <w:rPr>
                <w:rFonts w:ascii="Arial" w:hAnsi="Arial" w:cs="Arial"/>
              </w:rPr>
              <w:t>,</w:t>
            </w:r>
          </w:p>
          <w:p w14:paraId="02C990DC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 xml:space="preserve">procesor </w:t>
            </w:r>
            <w:r>
              <w:rPr>
                <w:rFonts w:ascii="Arial" w:hAnsi="Arial" w:cs="Arial"/>
              </w:rPr>
              <w:t xml:space="preserve">typu </w:t>
            </w:r>
            <w:r w:rsidRPr="00EB5F2C">
              <w:rPr>
                <w:rFonts w:ascii="Arial" w:hAnsi="Arial" w:cs="Arial"/>
              </w:rPr>
              <w:t>Intel Core i5</w:t>
            </w:r>
            <w:r>
              <w:rPr>
                <w:rFonts w:ascii="Arial" w:hAnsi="Arial" w:cs="Arial"/>
              </w:rPr>
              <w:t>,</w:t>
            </w:r>
          </w:p>
          <w:p w14:paraId="09C70C2F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pamięć RAM: minimum 8GB, optymalnie 16GB (z możliwością rozbudowy do 32GB)</w:t>
            </w:r>
            <w:r>
              <w:rPr>
                <w:rFonts w:ascii="Arial" w:hAnsi="Arial" w:cs="Arial"/>
              </w:rPr>
              <w:t>,</w:t>
            </w:r>
          </w:p>
          <w:p w14:paraId="342B2CC3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dysk SSD, minimum 256 GB</w:t>
            </w:r>
            <w:r>
              <w:rPr>
                <w:rFonts w:ascii="Arial" w:hAnsi="Arial" w:cs="Arial"/>
              </w:rPr>
              <w:t>,</w:t>
            </w:r>
          </w:p>
          <w:p w14:paraId="7760FC75" w14:textId="77777777" w:rsidR="004357C6" w:rsidRPr="00884A85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884A85">
              <w:rPr>
                <w:rFonts w:ascii="Arial" w:hAnsi="Arial" w:cs="Arial"/>
                <w:lang w:val="en-US"/>
              </w:rPr>
              <w:t xml:space="preserve">system operacyjny: </w:t>
            </w:r>
            <w:r>
              <w:rPr>
                <w:rFonts w:ascii="Arial" w:hAnsi="Arial" w:cs="Arial"/>
                <w:lang w:val="en-US"/>
              </w:rPr>
              <w:t xml:space="preserve">typu </w:t>
            </w:r>
            <w:r w:rsidRPr="00884A85">
              <w:rPr>
                <w:rFonts w:ascii="Arial" w:hAnsi="Arial" w:cs="Arial"/>
                <w:lang w:val="en-US"/>
              </w:rPr>
              <w:t>Windows 10 Professional (lub Microsoft Windows 11 64 bit Professional)</w:t>
            </w:r>
            <w:r>
              <w:rPr>
                <w:rFonts w:ascii="Arial" w:hAnsi="Arial" w:cs="Arial"/>
                <w:lang w:val="en-US"/>
              </w:rPr>
              <w:t>,</w:t>
            </w:r>
          </w:p>
          <w:p w14:paraId="5EC21E55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karta graficzna: zintegrowana z procesorem</w:t>
            </w:r>
            <w:r>
              <w:rPr>
                <w:rFonts w:ascii="Arial" w:hAnsi="Arial" w:cs="Arial"/>
              </w:rPr>
              <w:t>,</w:t>
            </w:r>
          </w:p>
          <w:p w14:paraId="581294D8" w14:textId="77777777" w:rsidR="004357C6" w:rsidRPr="00EB5F2C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wbudowane porty i złącza: HDMI, RJ-45, USB 3.1, USB 3.1 TYP-C, USB 2.0</w:t>
            </w:r>
            <w:r>
              <w:rPr>
                <w:rFonts w:ascii="Arial" w:hAnsi="Arial" w:cs="Arial"/>
              </w:rPr>
              <w:t>,</w:t>
            </w:r>
          </w:p>
          <w:p w14:paraId="5BE506DF" w14:textId="77777777" w:rsidR="004357C6" w:rsidRDefault="004357C6" w:rsidP="004357C6">
            <w:pPr>
              <w:pStyle w:val="Default"/>
              <w:numPr>
                <w:ilvl w:val="0"/>
                <w:numId w:val="6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EB5F2C">
              <w:rPr>
                <w:rFonts w:ascii="Arial" w:hAnsi="Arial" w:cs="Arial"/>
              </w:rPr>
              <w:t>czytnik kart microSD, 1 port audio typu combo (słuchawki i mikrofon)</w:t>
            </w:r>
            <w:r>
              <w:rPr>
                <w:rFonts w:ascii="Arial" w:hAnsi="Arial" w:cs="Arial"/>
              </w:rPr>
              <w:t>,</w:t>
            </w:r>
          </w:p>
          <w:p w14:paraId="4CB400ED" w14:textId="7C458222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w budżecie projektu zaplanujesz wyższy koszt przedstaw w uzasadnieniu stosowne wyjaśnienie oraz podaj parametry sprzętu.</w:t>
            </w:r>
          </w:p>
        </w:tc>
      </w:tr>
      <w:tr w:rsidR="00742A4F" w:rsidRPr="008C776F" w14:paraId="47233B52" w14:textId="77777777" w:rsidTr="005E7E03">
        <w:trPr>
          <w:trHeight w:val="557"/>
        </w:trPr>
        <w:tc>
          <w:tcPr>
            <w:tcW w:w="709" w:type="dxa"/>
          </w:tcPr>
          <w:p w14:paraId="6574FD2A" w14:textId="22A840CC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6</w:t>
            </w:r>
          </w:p>
        </w:tc>
        <w:tc>
          <w:tcPr>
            <w:tcW w:w="2977" w:type="dxa"/>
          </w:tcPr>
          <w:p w14:paraId="542130DD" w14:textId="77777777" w:rsidR="00742A4F" w:rsidRPr="008C776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 interaktywna</w:t>
            </w:r>
          </w:p>
        </w:tc>
        <w:tc>
          <w:tcPr>
            <w:tcW w:w="2268" w:type="dxa"/>
          </w:tcPr>
          <w:p w14:paraId="185C6AC0" w14:textId="5A176BDE" w:rsidR="00742A4F" w:rsidRPr="001B7673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EB5F2C">
              <w:rPr>
                <w:rFonts w:ascii="Arial" w:hAnsi="Arial" w:cs="Arial"/>
              </w:rPr>
              <w:t>4 000 zł/sztuka</w:t>
            </w:r>
          </w:p>
        </w:tc>
        <w:tc>
          <w:tcPr>
            <w:tcW w:w="9355" w:type="dxa"/>
          </w:tcPr>
          <w:p w14:paraId="2163ABD8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07C44E9F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kwalifikowalny, w przypadku</w:t>
            </w:r>
            <w:r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1108D260" w14:textId="77777777" w:rsidR="004357C6" w:rsidRPr="00EB5F2C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1A7B7196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podczerwień (IR)</w:t>
            </w:r>
          </w:p>
          <w:p w14:paraId="0CC150A0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 xml:space="preserve"> powierzchnia suchościeralna</w:t>
            </w:r>
          </w:p>
          <w:p w14:paraId="6F3EC863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75 - 80 cali</w:t>
            </w:r>
          </w:p>
          <w:p w14:paraId="569A7BFE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4K</w:t>
            </w:r>
          </w:p>
          <w:p w14:paraId="7F93AD31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5F681C8C" w14:textId="77777777" w:rsidR="004357C6" w:rsidRPr="00EB5F2C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technologia dotyku IR</w:t>
            </w:r>
          </w:p>
          <w:p w14:paraId="381C087E" w14:textId="77777777" w:rsidR="004357C6" w:rsidRDefault="004357C6" w:rsidP="004357C6">
            <w:pPr>
              <w:pStyle w:val="Defaul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kompatybilny z </w:t>
            </w:r>
            <w:r>
              <w:rPr>
                <w:rFonts w:ascii="Arial" w:eastAsia="Calibri" w:hAnsi="Arial" w:cs="Arial"/>
                <w:bCs/>
              </w:rPr>
              <w:t xml:space="preserve">aplikacją typu </w:t>
            </w:r>
            <w:r w:rsidRPr="00EB5F2C">
              <w:rPr>
                <w:rFonts w:ascii="Arial" w:eastAsia="Calibri" w:hAnsi="Arial" w:cs="Arial"/>
                <w:bCs/>
              </w:rPr>
              <w:t>Windows Ink</w:t>
            </w:r>
          </w:p>
          <w:p w14:paraId="2C7800C6" w14:textId="267E9740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25218C">
              <w:rPr>
                <w:rFonts w:ascii="Arial" w:eastAsia="Calibri" w:hAnsi="Arial" w:cs="Arial"/>
                <w:bCs/>
              </w:rPr>
              <w:t xml:space="preserve">Jeżeli w budżecie projektu zaplanujesz </w:t>
            </w:r>
            <w:r>
              <w:rPr>
                <w:rFonts w:ascii="Arial" w:eastAsia="Calibri" w:hAnsi="Arial" w:cs="Arial"/>
                <w:bCs/>
              </w:rPr>
              <w:t xml:space="preserve">wyższy koszt </w:t>
            </w:r>
            <w:r w:rsidRPr="0025218C">
              <w:rPr>
                <w:rFonts w:ascii="Arial" w:eastAsia="Calibri" w:hAnsi="Arial" w:cs="Arial"/>
                <w:bCs/>
              </w:rPr>
              <w:t xml:space="preserve">przedstaw w uzasadnieniu stosowne wyjaśnienie oraz podaj parametry </w:t>
            </w:r>
            <w:r>
              <w:rPr>
                <w:rFonts w:ascii="Arial" w:eastAsia="Calibri" w:hAnsi="Arial" w:cs="Arial"/>
                <w:bCs/>
              </w:rPr>
              <w:t>sprzętu.</w:t>
            </w:r>
          </w:p>
        </w:tc>
      </w:tr>
      <w:tr w:rsidR="00742A4F" w:rsidRPr="008C776F" w14:paraId="0C003F90" w14:textId="77777777" w:rsidTr="005E7E03">
        <w:trPr>
          <w:trHeight w:val="557"/>
        </w:trPr>
        <w:tc>
          <w:tcPr>
            <w:tcW w:w="709" w:type="dxa"/>
          </w:tcPr>
          <w:p w14:paraId="4DFCCBE1" w14:textId="33C8523D" w:rsidR="00742A4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7</w:t>
            </w:r>
          </w:p>
        </w:tc>
        <w:tc>
          <w:tcPr>
            <w:tcW w:w="2977" w:type="dxa"/>
          </w:tcPr>
          <w:p w14:paraId="762662B5" w14:textId="28D780C3" w:rsidR="00742A4F" w:rsidRDefault="00742A4F" w:rsidP="00742A4F">
            <w:pPr>
              <w:pStyle w:val="Default"/>
              <w:spacing w:before="120" w:after="120" w:line="276" w:lineRule="auto"/>
              <w:ind w:right="-10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Monitory interaktywne</w:t>
            </w:r>
          </w:p>
        </w:tc>
        <w:tc>
          <w:tcPr>
            <w:tcW w:w="2268" w:type="dxa"/>
          </w:tcPr>
          <w:p w14:paraId="39A5B024" w14:textId="19A6B816" w:rsidR="00742A4F" w:rsidRDefault="00742A4F" w:rsidP="00742A4F">
            <w:pPr>
              <w:pStyle w:val="Default"/>
              <w:spacing w:before="120" w:after="120" w:line="276" w:lineRule="auto"/>
              <w:rPr>
                <w:rFonts w:ascii="Arial" w:hAnsi="Arial" w:cs="Arial"/>
                <w:highlight w:val="yellow"/>
              </w:rPr>
            </w:pPr>
            <w:r w:rsidRPr="00EB5F2C">
              <w:rPr>
                <w:rFonts w:ascii="Arial" w:hAnsi="Arial" w:cs="Arial"/>
              </w:rPr>
              <w:t>10 000 zł/sztuka</w:t>
            </w:r>
          </w:p>
        </w:tc>
        <w:tc>
          <w:tcPr>
            <w:tcW w:w="9355" w:type="dxa"/>
          </w:tcPr>
          <w:p w14:paraId="5BC85182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 w przypadku, gdy jest uzasadniony specyfiką realizowanego projektu i potrzebami grupy docelowej;</w:t>
            </w:r>
          </w:p>
          <w:p w14:paraId="2EEBDD91" w14:textId="77777777" w:rsidR="004357C6" w:rsidRPr="00EB5F2C" w:rsidRDefault="004357C6" w:rsidP="004357C6">
            <w:pPr>
              <w:pStyle w:val="Default"/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>- wydatek kwalifikowalny, w przypadku</w:t>
            </w:r>
            <w:r>
              <w:rPr>
                <w:rFonts w:ascii="Arial" w:eastAsia="Calibri" w:hAnsi="Arial" w:cs="Arial"/>
                <w:bCs/>
              </w:rPr>
              <w:t>,</w:t>
            </w:r>
            <w:r w:rsidRPr="00EB5F2C">
              <w:rPr>
                <w:rFonts w:ascii="Arial" w:eastAsia="Calibri" w:hAnsi="Arial" w:cs="Arial"/>
                <w:bCs/>
              </w:rPr>
              <w:t xml:space="preserve"> gdy wnioskodawca nie posiada wystarczającego zaplecza technicznego do udzielania wsparcia uczestnikom projektu;</w:t>
            </w:r>
          </w:p>
          <w:p w14:paraId="299FC863" w14:textId="77777777" w:rsidR="004357C6" w:rsidRPr="00EB5F2C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- wydatek kwalifikowalny, o ile posiada </w:t>
            </w:r>
            <w:r>
              <w:rPr>
                <w:rFonts w:ascii="Arial" w:eastAsia="Calibri" w:hAnsi="Arial" w:cs="Arial"/>
                <w:bCs/>
              </w:rPr>
              <w:t>minimalne</w:t>
            </w:r>
            <w:r w:rsidRPr="00EB5F2C">
              <w:rPr>
                <w:rFonts w:ascii="Arial" w:eastAsia="Calibri" w:hAnsi="Arial" w:cs="Arial"/>
                <w:bCs/>
              </w:rPr>
              <w:t xml:space="preserve"> parametry:</w:t>
            </w:r>
          </w:p>
          <w:p w14:paraId="71D7471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przekątna ekranu: 75 cali</w:t>
            </w:r>
          </w:p>
          <w:p w14:paraId="6ACF485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proporcja obrazu: 16:9</w:t>
            </w:r>
          </w:p>
          <w:p w14:paraId="2D175613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rozdzielczość ekranu: 4K/Ultra HD</w:t>
            </w:r>
          </w:p>
          <w:p w14:paraId="734DE559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podświetlenie DLED,</w:t>
            </w:r>
          </w:p>
          <w:p w14:paraId="0E648E5B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kąt widzenia: 178 stopni</w:t>
            </w:r>
          </w:p>
          <w:p w14:paraId="42B5F8D3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2 procesory,</w:t>
            </w:r>
          </w:p>
          <w:p w14:paraId="5A17803B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wbudowany system </w:t>
            </w:r>
            <w:r>
              <w:rPr>
                <w:rFonts w:ascii="Arial" w:eastAsia="Calibri" w:hAnsi="Arial" w:cs="Arial"/>
                <w:bCs/>
              </w:rPr>
              <w:t xml:space="preserve">typu </w:t>
            </w:r>
            <w:r w:rsidRPr="00EB5F2C">
              <w:rPr>
                <w:rFonts w:ascii="Arial" w:eastAsia="Calibri" w:hAnsi="Arial" w:cs="Arial"/>
                <w:bCs/>
              </w:rPr>
              <w:t>Android</w:t>
            </w:r>
          </w:p>
          <w:p w14:paraId="529F3F82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pamięć operacyjna: 8GB (pamięć na dane: 160 GB)</w:t>
            </w:r>
          </w:p>
          <w:p w14:paraId="42544388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lastRenderedPageBreak/>
              <w:t xml:space="preserve"> żywotność matrycy: 50 000 godzin</w:t>
            </w:r>
          </w:p>
          <w:p w14:paraId="35AF8210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dźwiękowa HD audio</w:t>
            </w:r>
          </w:p>
          <w:p w14:paraId="291D687F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karta sieciowa</w:t>
            </w:r>
          </w:p>
          <w:p w14:paraId="683E8AF4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ekran dotykowy</w:t>
            </w:r>
          </w:p>
          <w:p w14:paraId="4265A309" w14:textId="77777777" w:rsidR="004357C6" w:rsidRPr="00EB5F2C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wyprodukowany zgodnie z normami ISO 9001 oraz ISO 14001</w:t>
            </w:r>
          </w:p>
          <w:p w14:paraId="502C556D" w14:textId="77777777" w:rsidR="004357C6" w:rsidRDefault="004357C6" w:rsidP="004357C6">
            <w:pPr>
              <w:pStyle w:val="Default"/>
              <w:numPr>
                <w:ilvl w:val="0"/>
                <w:numId w:val="8"/>
              </w:numPr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 w:rsidRPr="00EB5F2C">
              <w:rPr>
                <w:rFonts w:ascii="Arial" w:eastAsia="Calibri" w:hAnsi="Arial" w:cs="Arial"/>
                <w:bCs/>
              </w:rPr>
              <w:t xml:space="preserve"> łączność: Wifi, Lan</w:t>
            </w:r>
          </w:p>
          <w:p w14:paraId="24632E9F" w14:textId="4FD62989" w:rsidR="00742A4F" w:rsidRPr="000B6A49" w:rsidRDefault="004357C6" w:rsidP="004357C6">
            <w:pPr>
              <w:pStyle w:val="Default"/>
              <w:spacing w:before="120" w:after="120" w:line="276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hAnsi="Arial" w:cs="Arial"/>
              </w:rPr>
              <w:t>Jeżeli w budżecie projektu zaplanujesz wyższy koszt przedstaw w uzasadnieniu stosowne wyjaśnienie oraz podaj parametry sprzętu.</w:t>
            </w:r>
          </w:p>
        </w:tc>
      </w:tr>
    </w:tbl>
    <w:p w14:paraId="706420C6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p w14:paraId="61134FFD" w14:textId="77777777" w:rsidR="0082443B" w:rsidRPr="00F72A6B" w:rsidRDefault="0082443B" w:rsidP="0082443B">
      <w:pPr>
        <w:rPr>
          <w:rFonts w:ascii="Arial" w:hAnsi="Arial" w:cs="Arial"/>
          <w:b/>
          <w:bCs/>
          <w:sz w:val="24"/>
          <w:szCs w:val="24"/>
        </w:rPr>
      </w:pPr>
      <w:r w:rsidRPr="00F72A6B">
        <w:rPr>
          <w:rFonts w:ascii="Arial" w:hAnsi="Arial" w:cs="Arial"/>
          <w:b/>
          <w:bCs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4"/>
        <w:gridCol w:w="5961"/>
        <w:gridCol w:w="2967"/>
      </w:tblGrid>
      <w:tr w:rsidR="0082443B" w:rsidRPr="00F72A6B" w14:paraId="0D58CD09" w14:textId="77777777" w:rsidTr="00A27441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50E57225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5724445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82443B" w:rsidRPr="00F72A6B" w14:paraId="47624369" w14:textId="77777777" w:rsidTr="00A27441">
        <w:trPr>
          <w:trHeight w:val="781"/>
        </w:trPr>
        <w:tc>
          <w:tcPr>
            <w:tcW w:w="5064" w:type="dxa"/>
            <w:shd w:val="clear" w:color="auto" w:fill="F2F2F2" w:themeFill="background1" w:themeFillShade="F2"/>
          </w:tcPr>
          <w:p w14:paraId="22BE92B6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1 Szkolenie nauczycieli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61" w:type="dxa"/>
            <w:shd w:val="clear" w:color="auto" w:fill="F2F2F2" w:themeFill="background1" w:themeFillShade="F2"/>
          </w:tcPr>
          <w:p w14:paraId="040F0BB0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  <w:shd w:val="clear" w:color="auto" w:fill="F2F2F2" w:themeFill="background1" w:themeFillShade="F2"/>
          </w:tcPr>
          <w:p w14:paraId="504021EC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2EEEF2C6" w14:textId="77777777" w:rsidTr="00A27441">
        <w:tc>
          <w:tcPr>
            <w:tcW w:w="5064" w:type="dxa"/>
          </w:tcPr>
          <w:p w14:paraId="1FC0E37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 xml:space="preserve">1.1. Szkolenie z </w:t>
            </w:r>
            <w:r>
              <w:rPr>
                <w:rFonts w:ascii="Arial" w:hAnsi="Arial" w:cs="Arial"/>
                <w:sz w:val="24"/>
                <w:szCs w:val="24"/>
              </w:rPr>
              <w:t>XXX</w:t>
            </w:r>
          </w:p>
        </w:tc>
        <w:tc>
          <w:tcPr>
            <w:tcW w:w="5961" w:type="dxa"/>
          </w:tcPr>
          <w:p w14:paraId="45E341A5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2967" w:type="dxa"/>
          </w:tcPr>
          <w:p w14:paraId="3A5A229F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65D7993D" w14:textId="77777777" w:rsidTr="00A27441">
        <w:tc>
          <w:tcPr>
            <w:tcW w:w="5064" w:type="dxa"/>
          </w:tcPr>
          <w:p w14:paraId="1FE4549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8928" w:type="dxa"/>
            <w:gridSpan w:val="2"/>
          </w:tcPr>
          <w:p w14:paraId="158D3930" w14:textId="25087D5E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Kategoria kosztu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8C326F">
              <w:rPr>
                <w:rFonts w:ascii="Arial" w:hAnsi="Arial" w:cs="Arial"/>
                <w:sz w:val="24"/>
                <w:szCs w:val="24"/>
              </w:rPr>
              <w:t>oszty wsparcia uczestników projektu</w:t>
            </w:r>
            <w:r w:rsidR="001623E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23E9">
              <w:rPr>
                <w:rFonts w:ascii="Arial" w:hAnsi="Arial" w:cs="Arial"/>
              </w:rPr>
              <w:t>oraz podmiotów objętych wsparciem</w:t>
            </w:r>
          </w:p>
        </w:tc>
      </w:tr>
      <w:tr w:rsidR="0082443B" w:rsidRPr="00F72A6B" w14:paraId="6ADE8A7D" w14:textId="77777777" w:rsidTr="00A27441">
        <w:tc>
          <w:tcPr>
            <w:tcW w:w="5064" w:type="dxa"/>
          </w:tcPr>
          <w:p w14:paraId="1B1E98D9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7FDA6E95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750,00 zł</w:t>
            </w:r>
          </w:p>
        </w:tc>
        <w:tc>
          <w:tcPr>
            <w:tcW w:w="8928" w:type="dxa"/>
            <w:gridSpan w:val="2"/>
          </w:tcPr>
          <w:p w14:paraId="79D13B5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775,00 zł</w:t>
            </w:r>
          </w:p>
        </w:tc>
      </w:tr>
      <w:tr w:rsidR="0082443B" w:rsidRPr="00F72A6B" w14:paraId="7A278954" w14:textId="77777777" w:rsidTr="00A27441">
        <w:tc>
          <w:tcPr>
            <w:tcW w:w="5064" w:type="dxa"/>
          </w:tcPr>
          <w:p w14:paraId="7673D06C" w14:textId="05BBA1C5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28" w:type="dxa"/>
            <w:gridSpan w:val="2"/>
          </w:tcPr>
          <w:p w14:paraId="540FB88B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bookmarkEnd w:id="2"/>
    </w:tbl>
    <w:p w14:paraId="21FE510B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82443B" w:rsidRPr="00F72A6B" w14:paraId="6CA69799" w14:textId="77777777" w:rsidTr="00A27441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04DEA683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5727044"/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82443B" w:rsidRPr="00F72A6B" w14:paraId="5AC0F902" w14:textId="77777777" w:rsidTr="00A27441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4E12C8A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zadania </w:t>
            </w:r>
            <w:r w:rsidRPr="00F72A6B">
              <w:rPr>
                <w:rFonts w:ascii="Arial" w:hAnsi="Arial" w:cs="Arial"/>
                <w:sz w:val="24"/>
                <w:szCs w:val="24"/>
              </w:rPr>
              <w:t>Zadanie 2 Koszty pośrednie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41A7D906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5F3DA3C7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82443B" w:rsidRPr="00F72A6B" w14:paraId="07E61335" w14:textId="77777777" w:rsidTr="00A27441">
        <w:tc>
          <w:tcPr>
            <w:tcW w:w="5052" w:type="dxa"/>
          </w:tcPr>
          <w:p w14:paraId="381DBB43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kosztu 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2.1. Stawka ryczałtowa - 15% kosztów bezpośrednich</w:t>
            </w:r>
          </w:p>
        </w:tc>
        <w:tc>
          <w:tcPr>
            <w:tcW w:w="5941" w:type="dxa"/>
          </w:tcPr>
          <w:p w14:paraId="67A5C4A4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2999" w:type="dxa"/>
          </w:tcPr>
          <w:p w14:paraId="5D75B678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585 000,00 zł</w:t>
            </w:r>
          </w:p>
        </w:tc>
      </w:tr>
      <w:tr w:rsidR="0082443B" w:rsidRPr="00F72A6B" w14:paraId="1FC669C6" w14:textId="77777777" w:rsidTr="00A27441">
        <w:tc>
          <w:tcPr>
            <w:tcW w:w="5052" w:type="dxa"/>
          </w:tcPr>
          <w:p w14:paraId="207B842A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Uproszczona metoda rozliczenia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72A6B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3D8A03AB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Rodzaj ryczałtu</w:t>
            </w:r>
          </w:p>
          <w:p w14:paraId="72BB8ABD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82443B" w:rsidRPr="00F72A6B" w14:paraId="5ACE6FB7" w14:textId="77777777" w:rsidTr="00A27441">
        <w:tc>
          <w:tcPr>
            <w:tcW w:w="5052" w:type="dxa"/>
          </w:tcPr>
          <w:p w14:paraId="19D4A72D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Wydatki ogółem</w:t>
            </w:r>
          </w:p>
          <w:p w14:paraId="0E1E1F73" w14:textId="77777777" w:rsidR="0082443B" w:rsidRPr="00F72A6B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650 000,00 zł</w:t>
            </w:r>
          </w:p>
        </w:tc>
        <w:tc>
          <w:tcPr>
            <w:tcW w:w="8940" w:type="dxa"/>
            <w:gridSpan w:val="2"/>
          </w:tcPr>
          <w:p w14:paraId="34A937CC" w14:textId="0A7B2840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Dofinansowanie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1B64D7">
              <w:rPr>
                <w:rFonts w:ascii="Arial" w:hAnsi="Arial" w:cs="Arial"/>
                <w:sz w:val="24"/>
                <w:szCs w:val="24"/>
              </w:rPr>
              <w:t>585</w:t>
            </w:r>
            <w:r w:rsidR="001B64D7" w:rsidRPr="00F72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000,00 zł</w:t>
            </w:r>
          </w:p>
        </w:tc>
      </w:tr>
      <w:bookmarkEnd w:id="3"/>
      <w:tr w:rsidR="0082443B" w:rsidRPr="00F72A6B" w14:paraId="1CCCBE13" w14:textId="77777777" w:rsidTr="00A27441">
        <w:tc>
          <w:tcPr>
            <w:tcW w:w="5052" w:type="dxa"/>
          </w:tcPr>
          <w:p w14:paraId="3CA09AD2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Limity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  <w:tc>
          <w:tcPr>
            <w:tcW w:w="8940" w:type="dxa"/>
            <w:gridSpan w:val="2"/>
          </w:tcPr>
          <w:p w14:paraId="78602DDF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Realizator</w:t>
            </w: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</w:tc>
      </w:tr>
      <w:tr w:rsidR="0082443B" w:rsidRPr="00F72A6B" w14:paraId="44F52BE5" w14:textId="77777777" w:rsidTr="00DA4014">
        <w:trPr>
          <w:trHeight w:val="748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75A48E54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82443B" w:rsidRPr="00F72A6B" w14:paraId="3499F48C" w14:textId="77777777" w:rsidTr="00A27441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CA1C1F1" w14:textId="77777777" w:rsidR="0082443B" w:rsidRPr="00F72A6B" w:rsidRDefault="0082443B" w:rsidP="00A2744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b/>
                <w:bCs/>
                <w:sz w:val="24"/>
                <w:szCs w:val="24"/>
              </w:rPr>
              <w:t>Uzasadnienie poszczególnych wydatków wskazanych w budżecie projektu</w:t>
            </w:r>
          </w:p>
        </w:tc>
      </w:tr>
      <w:tr w:rsidR="0082443B" w:rsidRPr="00F72A6B" w14:paraId="41D89B61" w14:textId="77777777" w:rsidTr="00A27441">
        <w:trPr>
          <w:trHeight w:val="274"/>
        </w:trPr>
        <w:tc>
          <w:tcPr>
            <w:tcW w:w="13992" w:type="dxa"/>
            <w:gridSpan w:val="3"/>
            <w:shd w:val="clear" w:color="auto" w:fill="FFFFFF" w:themeFill="background1"/>
          </w:tcPr>
          <w:p w14:paraId="7B9297DB" w14:textId="638FCB80" w:rsidR="0082443B" w:rsidRPr="00087EBC" w:rsidRDefault="0082443B" w:rsidP="00A274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</w:t>
            </w:r>
            <w:r w:rsidR="0089514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7EBC">
              <w:rPr>
                <w:rFonts w:ascii="Arial" w:hAnsi="Arial" w:cs="Arial"/>
                <w:sz w:val="24"/>
                <w:szCs w:val="24"/>
              </w:rPr>
              <w:t>1. Zadanie 1, pozycja 1</w:t>
            </w:r>
          </w:p>
        </w:tc>
      </w:tr>
      <w:tr w:rsidR="0082443B" w:rsidRPr="00F72A6B" w14:paraId="5DCFBC15" w14:textId="77777777" w:rsidTr="00A27441">
        <w:tc>
          <w:tcPr>
            <w:tcW w:w="13992" w:type="dxa"/>
            <w:gridSpan w:val="3"/>
          </w:tcPr>
          <w:p w14:paraId="2DCDA497" w14:textId="77777777" w:rsidR="0082443B" w:rsidRDefault="0082443B" w:rsidP="008244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Uzasadnienie</w:t>
            </w:r>
          </w:p>
          <w:p w14:paraId="4B514E9B" w14:textId="2CCC0813" w:rsidR="0082443B" w:rsidRDefault="0082443B" w:rsidP="008A3046">
            <w:pPr>
              <w:rPr>
                <w:rFonts w:ascii="Arial" w:hAnsi="Arial" w:cs="Arial"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 xml:space="preserve">Pozycja obejmuje organizację szkoleń dla nauczycieli z </w:t>
            </w:r>
            <w:r>
              <w:rPr>
                <w:rFonts w:ascii="Arial" w:hAnsi="Arial" w:cs="Arial"/>
                <w:sz w:val="24"/>
                <w:szCs w:val="24"/>
              </w:rPr>
              <w:t>XXX w</w:t>
            </w:r>
            <w:r w:rsidR="00A354D6">
              <w:rPr>
                <w:rFonts w:ascii="Arial" w:hAnsi="Arial" w:cs="Arial"/>
                <w:sz w:val="24"/>
                <w:szCs w:val="24"/>
              </w:rPr>
              <w:t>e własnym zakresie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W ramach wydatku przewiduje się przeszkolenie 15 os. Zakres szkolenia zgodny z opisem zadania 1</w:t>
            </w:r>
            <w:r w:rsidR="00895144">
              <w:rPr>
                <w:rFonts w:ascii="Arial" w:hAnsi="Arial" w:cs="Arial"/>
                <w:sz w:val="24"/>
                <w:szCs w:val="24"/>
              </w:rPr>
              <w:t xml:space="preserve"> (ze względu na ograniczenia liczby znaków dopuszcza się opis szkolenia </w:t>
            </w:r>
            <w:r w:rsidR="008A3046">
              <w:rPr>
                <w:rFonts w:ascii="Arial" w:hAnsi="Arial" w:cs="Arial"/>
                <w:sz w:val="24"/>
                <w:szCs w:val="24"/>
              </w:rPr>
              <w:t>w uzasadnieniu do budżetu)</w:t>
            </w:r>
            <w:r w:rsidR="008951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Koszt udziału 1 osoby w 16 godz. szkoleniu to 650 zł.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15 os. x 650 zł = 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2A6B">
              <w:rPr>
                <w:rFonts w:ascii="Arial" w:hAnsi="Arial" w:cs="Arial"/>
                <w:sz w:val="24"/>
                <w:szCs w:val="24"/>
              </w:rPr>
              <w:t>750 zł</w:t>
            </w:r>
            <w:r>
              <w:rPr>
                <w:rFonts w:ascii="Arial" w:hAnsi="Arial" w:cs="Arial"/>
                <w:sz w:val="24"/>
                <w:szCs w:val="24"/>
              </w:rPr>
              <w:t>, w tym: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4B0F64" w14:textId="0889B549" w:rsidR="0082443B" w:rsidRPr="00F72A6B" w:rsidRDefault="0082443B" w:rsidP="008A30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 trenera: 9 000 zł</w:t>
            </w:r>
            <w:r w:rsidR="008A30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54D6">
              <w:rPr>
                <w:rFonts w:ascii="Arial" w:hAnsi="Arial" w:cs="Arial"/>
                <w:sz w:val="24"/>
                <w:szCs w:val="24"/>
              </w:rPr>
              <w:t>(umowa zlecenie)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Koszt przerwy kawowej: 450 zł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Materiały szkoleniowe (teczka, notes, długopis, wydruk prezentacji) 300 zł</w:t>
            </w:r>
            <w:r w:rsidR="008A3046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Zaplanowano 2 grupy szkoleniowe (7 osób i 8 osób)</w:t>
            </w:r>
            <w:r w:rsidR="0089514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9A62DF" w14:textId="77777777" w:rsidR="0082443B" w:rsidRPr="00F72A6B" w:rsidRDefault="0082443B" w:rsidP="008A304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2A6B">
              <w:rPr>
                <w:rFonts w:ascii="Arial" w:hAnsi="Arial" w:cs="Arial"/>
                <w:sz w:val="24"/>
                <w:szCs w:val="24"/>
              </w:rPr>
              <w:t>Wysokość wydatku oszacowano na podstawie dokonanego rozeznania rynku.</w:t>
            </w:r>
          </w:p>
        </w:tc>
      </w:tr>
    </w:tbl>
    <w:p w14:paraId="6EE440EC" w14:textId="77777777" w:rsidR="0082443B" w:rsidRDefault="0082443B" w:rsidP="006D164D">
      <w:pPr>
        <w:rPr>
          <w:rFonts w:ascii="Arial" w:hAnsi="Arial" w:cs="Arial"/>
          <w:sz w:val="24"/>
          <w:szCs w:val="24"/>
        </w:rPr>
      </w:pPr>
    </w:p>
    <w:bookmarkEnd w:id="0"/>
    <w:p w14:paraId="7641D46E" w14:textId="77777777" w:rsidR="00957D9E" w:rsidRPr="00BE09CA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31078ABD" w14:textId="7DB32F3B" w:rsidR="0082443B" w:rsidRDefault="00C060F0" w:rsidP="008244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</w:t>
      </w:r>
      <w:r w:rsidR="00C72B15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82443B">
        <w:rPr>
          <w:rFonts w:ascii="Arial" w:hAnsi="Arial" w:cs="Arial"/>
          <w:sz w:val="24"/>
          <w:szCs w:val="24"/>
        </w:rPr>
        <w:t xml:space="preserve">w SOWA masz możliwość wyboru wszystkich kategorii kosztów wymienionych w Instrukcji wypełniania wniosku. Jeśli masz wątpliwości odnośnie przyporządkowania wydatku do właściwej kategorii wyślij do nas maila na adres wskazany w Regulaminie. </w:t>
      </w:r>
    </w:p>
    <w:p w14:paraId="068549ED" w14:textId="30965055" w:rsidR="00957D9E" w:rsidRPr="00300795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Opłaty związane z udziałem uczestników w projekcie</w:t>
      </w:r>
    </w:p>
    <w:p w14:paraId="4271C3EB" w14:textId="77777777" w:rsidR="00957D9E" w:rsidRPr="00301F43" w:rsidRDefault="00957D9E" w:rsidP="00957D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301F43">
        <w:rPr>
          <w:rFonts w:ascii="Arial" w:hAnsi="Arial" w:cs="Arial"/>
          <w:sz w:val="24"/>
          <w:szCs w:val="24"/>
        </w:rPr>
        <w:t>ie ma możliwości</w:t>
      </w:r>
      <w:r>
        <w:rPr>
          <w:rFonts w:ascii="Arial" w:hAnsi="Arial" w:cs="Arial"/>
          <w:sz w:val="24"/>
          <w:szCs w:val="24"/>
        </w:rPr>
        <w:t xml:space="preserve"> pobierania w projekcie opłat od uczestników projektu (uczniów/nauczycieli). Tym samym ww. opłaty nie mogą stanowić wkładu w projekcie.</w:t>
      </w:r>
    </w:p>
    <w:p w14:paraId="2175D867" w14:textId="77777777" w:rsidR="00957D9E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Cross-financing</w:t>
      </w:r>
    </w:p>
    <w:p w14:paraId="40FBAC94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W przypadku projektów EFS</w:t>
      </w:r>
      <w:r>
        <w:rPr>
          <w:rFonts w:ascii="Arial" w:hAnsi="Arial" w:cs="Arial"/>
          <w:sz w:val="24"/>
          <w:szCs w:val="24"/>
        </w:rPr>
        <w:t>+</w:t>
      </w:r>
      <w:r w:rsidRPr="00092EE5">
        <w:rPr>
          <w:rFonts w:ascii="Arial" w:hAnsi="Arial" w:cs="Arial"/>
          <w:sz w:val="24"/>
          <w:szCs w:val="24"/>
        </w:rPr>
        <w:t xml:space="preserve"> cross-financing może dotyczyć wyłącznie:</w:t>
      </w:r>
    </w:p>
    <w:p w14:paraId="12187658" w14:textId="77777777" w:rsidR="00957D9E" w:rsidRPr="00092EE5" w:rsidRDefault="00957D9E" w:rsidP="005F6313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lastRenderedPageBreak/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 xml:space="preserve">zakupu </w:t>
      </w:r>
      <w:r>
        <w:rPr>
          <w:rFonts w:ascii="Arial" w:hAnsi="Arial" w:cs="Arial"/>
          <w:sz w:val="24"/>
          <w:szCs w:val="24"/>
        </w:rPr>
        <w:t xml:space="preserve">gruntu i </w:t>
      </w:r>
      <w:r w:rsidRPr="00092EE5">
        <w:rPr>
          <w:rFonts w:ascii="Arial" w:hAnsi="Arial" w:cs="Arial"/>
          <w:sz w:val="24"/>
          <w:szCs w:val="24"/>
        </w:rPr>
        <w:t>nieruchomości,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 xml:space="preserve">o ile warunki z podrozdziału </w:t>
      </w:r>
      <w:r>
        <w:rPr>
          <w:rFonts w:ascii="Arial" w:hAnsi="Arial" w:cs="Arial"/>
          <w:sz w:val="24"/>
          <w:szCs w:val="24"/>
        </w:rPr>
        <w:t xml:space="preserve">nr </w:t>
      </w:r>
      <w:r w:rsidRPr="00B17DF5">
        <w:rPr>
          <w:rFonts w:ascii="Arial" w:hAnsi="Arial" w:cs="Arial"/>
          <w:sz w:val="24"/>
          <w:szCs w:val="24"/>
        </w:rPr>
        <w:t>3.4 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>
        <w:rPr>
          <w:rFonts w:ascii="Arial" w:hAnsi="Arial" w:cs="Arial"/>
          <w:sz w:val="24"/>
          <w:szCs w:val="24"/>
        </w:rPr>
        <w:t xml:space="preserve"> są</w:t>
      </w:r>
      <w:r w:rsidRPr="00B17DF5">
        <w:rPr>
          <w:rFonts w:ascii="Arial" w:hAnsi="Arial" w:cs="Arial"/>
          <w:sz w:val="24"/>
          <w:szCs w:val="24"/>
        </w:rPr>
        <w:t xml:space="preserve"> spełnione</w:t>
      </w:r>
      <w:r>
        <w:rPr>
          <w:rFonts w:ascii="Arial" w:hAnsi="Arial" w:cs="Arial"/>
          <w:sz w:val="24"/>
          <w:szCs w:val="24"/>
        </w:rPr>
        <w:t>,</w:t>
      </w:r>
    </w:p>
    <w:p w14:paraId="4F80D9DF" w14:textId="77777777" w:rsidR="00957D9E" w:rsidRDefault="00957D9E" w:rsidP="005F6313">
      <w:pPr>
        <w:spacing w:before="120" w:after="120"/>
        <w:ind w:left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092EE5">
        <w:rPr>
          <w:rFonts w:ascii="Arial" w:hAnsi="Arial" w:cs="Arial"/>
          <w:sz w:val="24"/>
          <w:szCs w:val="24"/>
        </w:rPr>
        <w:t>zakupu infrastruktury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rozumianej jako budowa nowej infrastruktury oraz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wykonywanie wszelkich prac w ramach istniejącej infrastruktury, których wynik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staje się częścią nieruchomości i które zostają trwale przyłączone do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nieruchomości, w szczególności adaptacja oraz prace remontowe związane z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dostosowaniem nieruchomości lub pomieszczeń do nowej funkcji (np.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wykonanie podjazdu do budynku, zainstalowanie windy w budynku, renowacja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budynku lub pomieszczeń, prace adaptacyjne w budynku lub</w:t>
      </w:r>
      <w:r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pomieszczeniach</w:t>
      </w:r>
      <w:r>
        <w:rPr>
          <w:rFonts w:ascii="Arial" w:hAnsi="Arial" w:cs="Arial"/>
          <w:sz w:val="24"/>
          <w:szCs w:val="24"/>
        </w:rPr>
        <w:t>),</w:t>
      </w:r>
    </w:p>
    <w:p w14:paraId="1D3319EE" w14:textId="77777777" w:rsidR="00957D9E" w:rsidRPr="00F15353" w:rsidRDefault="00957D9E" w:rsidP="005F6313">
      <w:pPr>
        <w:spacing w:before="120" w:after="120"/>
        <w:ind w:firstLine="708"/>
        <w:rPr>
          <w:rFonts w:ascii="Arial" w:hAnsi="Arial" w:cs="Arial"/>
          <w:sz w:val="24"/>
          <w:szCs w:val="24"/>
        </w:rPr>
      </w:pPr>
      <w:r w:rsidRPr="00092EE5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zakupu mebli, sprzętu i pojazdów, z wyjątkiem sytuacji, gdy:</w:t>
      </w:r>
    </w:p>
    <w:p w14:paraId="4C7671BD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i) zakupy te zostaną zamortyzowane w całości w okresie realizacji projektu,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zastrzeżeniem podrozdziału</w:t>
      </w:r>
      <w:r w:rsidRPr="00E963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</w:t>
      </w:r>
      <w:r w:rsidRPr="00F15353">
        <w:rPr>
          <w:rFonts w:ascii="Arial" w:hAnsi="Arial" w:cs="Arial"/>
          <w:sz w:val="24"/>
          <w:szCs w:val="24"/>
        </w:rPr>
        <w:t xml:space="preserve"> 3.7</w:t>
      </w:r>
      <w:r w:rsidRPr="00E963F5">
        <w:rPr>
          <w:rFonts w:ascii="Arial" w:hAnsi="Arial" w:cs="Arial"/>
          <w:sz w:val="24"/>
          <w:szCs w:val="24"/>
        </w:rPr>
        <w:t xml:space="preserve"> </w:t>
      </w:r>
      <w:r w:rsidRPr="00B17DF5">
        <w:rPr>
          <w:rFonts w:ascii="Arial" w:hAnsi="Arial" w:cs="Arial"/>
          <w:sz w:val="24"/>
          <w:szCs w:val="24"/>
        </w:rPr>
        <w:t>Wytyczn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dotycząc</w:t>
      </w:r>
      <w:r>
        <w:rPr>
          <w:rFonts w:ascii="Arial" w:hAnsi="Arial" w:cs="Arial"/>
          <w:sz w:val="24"/>
          <w:szCs w:val="24"/>
        </w:rPr>
        <w:t>ych</w:t>
      </w:r>
      <w:r w:rsidRPr="00B17DF5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Pr="00F15353">
        <w:rPr>
          <w:rFonts w:ascii="Arial" w:hAnsi="Arial" w:cs="Arial"/>
          <w:sz w:val="24"/>
          <w:szCs w:val="24"/>
        </w:rPr>
        <w:t>, lub</w:t>
      </w:r>
    </w:p>
    <w:p w14:paraId="76F634ED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ii) beneficjent udowodni, że zakup będzie najbardziej opłacalną opcją, tj.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wymaga mniejszych nakładów finansowych niż inne opcje, np. najem lub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leasing, ale jednocześnie jest odpowiedni do osiągnięcia celu projektu;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przy porównywaniu kosztów finansowych związanych z różnymi opcjami,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ocena powinna opierać się na przedmiotach o podobnych cechach;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uzasadnienie zakupu jako najbardziej opłacalnej opcji powinno wynikać z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zatwierdzonego wniosku o dofinansowanie projektu, lub</w:t>
      </w:r>
    </w:p>
    <w:p w14:paraId="5E595D0F" w14:textId="77777777" w:rsidR="00957D9E" w:rsidRPr="00F15353" w:rsidRDefault="00957D9E" w:rsidP="005F6313">
      <w:pPr>
        <w:spacing w:before="120" w:after="120"/>
        <w:ind w:left="1416"/>
        <w:rPr>
          <w:rFonts w:ascii="Arial" w:hAnsi="Arial" w:cs="Arial"/>
          <w:sz w:val="24"/>
          <w:szCs w:val="24"/>
        </w:rPr>
      </w:pPr>
      <w:r w:rsidRPr="00F15353">
        <w:rPr>
          <w:rFonts w:ascii="Arial" w:hAnsi="Arial" w:cs="Arial"/>
          <w:sz w:val="24"/>
          <w:szCs w:val="24"/>
        </w:rPr>
        <w:t>iii) zakupy te są konieczne dla osiągniecia celów projektu (np. doposażenie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pracowni naukowych); uzasadnienie konieczności tych zakupów powinno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wynikać z zatwierdzonego wniosku o dofinansowanie projektu (za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niezasadny należy uznać zakup sprzętu dokonanego w celu wspomagania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procesu wdrażania projektu, np. zakup komputerów na potrzeby szkolenia</w:t>
      </w:r>
      <w:r>
        <w:rPr>
          <w:rFonts w:ascii="Arial" w:hAnsi="Arial" w:cs="Arial"/>
          <w:sz w:val="24"/>
          <w:szCs w:val="24"/>
        </w:rPr>
        <w:t xml:space="preserve"> nauczycieli</w:t>
      </w:r>
      <w:r w:rsidRPr="00F15353">
        <w:rPr>
          <w:rFonts w:ascii="Arial" w:hAnsi="Arial" w:cs="Arial"/>
          <w:sz w:val="24"/>
          <w:szCs w:val="24"/>
        </w:rPr>
        <w:t>).</w:t>
      </w:r>
    </w:p>
    <w:p w14:paraId="2553F71F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5F6313">
        <w:rPr>
          <w:rFonts w:ascii="Arial" w:hAnsi="Arial" w:cs="Arial"/>
          <w:b/>
          <w:bCs/>
          <w:sz w:val="24"/>
          <w:szCs w:val="24"/>
        </w:rPr>
        <w:t>Warunki z tiretów i-iii są rozłączne, co oznacza, że w przypadku spełnienia któregokolwiek z nich, zakup mebli, sprzętu i pojazdów może być kwalifikowalny w ramach EFS+ poza cross-financingiem.</w:t>
      </w:r>
      <w:r w:rsidRPr="00F15353">
        <w:rPr>
          <w:rFonts w:ascii="Arial" w:hAnsi="Arial" w:cs="Arial"/>
          <w:sz w:val="24"/>
          <w:szCs w:val="24"/>
        </w:rPr>
        <w:t xml:space="preserve"> Zakup mebli, sprzętu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i pojazdów niespełniający żadnego z warunków wskazanych w tirecie i-iii</w:t>
      </w:r>
      <w:r>
        <w:rPr>
          <w:rFonts w:ascii="Arial" w:hAnsi="Arial" w:cs="Arial"/>
          <w:sz w:val="24"/>
          <w:szCs w:val="24"/>
        </w:rPr>
        <w:t xml:space="preserve"> </w:t>
      </w:r>
      <w:r w:rsidRPr="00F15353">
        <w:rPr>
          <w:rFonts w:ascii="Arial" w:hAnsi="Arial" w:cs="Arial"/>
          <w:sz w:val="24"/>
          <w:szCs w:val="24"/>
        </w:rPr>
        <w:t>stanowi cross-financing</w:t>
      </w:r>
      <w:r w:rsidRPr="00092EE5">
        <w:rPr>
          <w:rFonts w:ascii="Arial" w:hAnsi="Arial" w:cs="Arial"/>
          <w:sz w:val="24"/>
          <w:szCs w:val="24"/>
        </w:rPr>
        <w:t>.</w:t>
      </w:r>
    </w:p>
    <w:p w14:paraId="1A6ED895" w14:textId="77777777" w:rsidR="00957D9E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Maksymalny dopuszczalny poziom </w:t>
      </w:r>
      <w:bookmarkStart w:id="4" w:name="_Hlk144876301"/>
      <w:r>
        <w:rPr>
          <w:rFonts w:ascii="Arial" w:hAnsi="Arial" w:cs="Arial"/>
          <w:sz w:val="24"/>
          <w:szCs w:val="24"/>
        </w:rPr>
        <w:t xml:space="preserve">cross-financingu </w:t>
      </w:r>
      <w:bookmarkEnd w:id="4"/>
      <w:r>
        <w:rPr>
          <w:rFonts w:ascii="Arial" w:hAnsi="Arial" w:cs="Arial"/>
          <w:sz w:val="24"/>
          <w:szCs w:val="24"/>
        </w:rPr>
        <w:t>w projekcie wynosi 20%.</w:t>
      </w:r>
    </w:p>
    <w:p w14:paraId="33BCC891" w14:textId="77777777" w:rsidR="00C027C5" w:rsidRDefault="00C027C5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4DC8F9CD" w14:textId="77777777" w:rsidR="00C027C5" w:rsidRDefault="00C027C5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40FE9E6A" w14:textId="77777777" w:rsidR="005F6313" w:rsidRPr="00515367" w:rsidRDefault="005F6313" w:rsidP="00957D9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lastRenderedPageBreak/>
        <w:t>UWAGA</w:t>
      </w:r>
    </w:p>
    <w:p w14:paraId="39D92C8F" w14:textId="5689AE78" w:rsidR="004E10AA" w:rsidRPr="00515367" w:rsidRDefault="005F6313" w:rsidP="005F6313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t>Zgodnie ze stanowiskiem Komisji Europejskiej, c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ałkowita kwota cross-financingu </w:t>
      </w:r>
      <w:r w:rsidRPr="00515367">
        <w:rPr>
          <w:rFonts w:ascii="Arial" w:hAnsi="Arial" w:cs="Arial"/>
          <w:b/>
          <w:bCs/>
          <w:sz w:val="24"/>
          <w:szCs w:val="24"/>
        </w:rPr>
        <w:t>w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 projek</w:t>
      </w:r>
      <w:r w:rsidRPr="00515367">
        <w:rPr>
          <w:rFonts w:ascii="Arial" w:hAnsi="Arial" w:cs="Arial"/>
          <w:b/>
          <w:bCs/>
          <w:sz w:val="24"/>
          <w:szCs w:val="24"/>
        </w:rPr>
        <w:t>cie</w:t>
      </w:r>
      <w:r w:rsidR="004E10AA" w:rsidRPr="00515367">
        <w:rPr>
          <w:rFonts w:ascii="Arial" w:hAnsi="Arial" w:cs="Arial"/>
          <w:b/>
          <w:bCs/>
          <w:sz w:val="24"/>
          <w:szCs w:val="24"/>
        </w:rPr>
        <w:t xml:space="preserve"> to suma wydatków stanowiących cross-financing w kosztach bezpośrednich oraz część kosztów pośrednich, wyliczona poprzez zastosowanie właściwego % (stosowanego w danym projekcie dla kosztów pośrednich) do kosztów bezpośrednich objętych cross - financingiem. </w:t>
      </w:r>
    </w:p>
    <w:p w14:paraId="46C99F77" w14:textId="77777777" w:rsidR="004E10AA" w:rsidRPr="00515367" w:rsidRDefault="004E10AA" w:rsidP="00957D9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515367">
        <w:rPr>
          <w:rFonts w:ascii="Arial" w:hAnsi="Arial" w:cs="Arial"/>
          <w:b/>
          <w:bCs/>
          <w:sz w:val="24"/>
          <w:szCs w:val="24"/>
        </w:rPr>
        <w:t>Przykład</w:t>
      </w:r>
    </w:p>
    <w:p w14:paraId="7E6B6512" w14:textId="247AACD1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kosztów pośrednich obowiązująca w projekcie: 10%</w:t>
      </w:r>
    </w:p>
    <w:p w14:paraId="5F41E39B" w14:textId="1D3827B3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Wydatki w ramach cross – financingu w kosztach bezpośrednich: 100 000,00 zł</w:t>
      </w:r>
    </w:p>
    <w:p w14:paraId="55BCD098" w14:textId="422E5D63" w:rsidR="004E10AA" w:rsidRP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 w:rsidRPr="004E10AA">
        <w:rPr>
          <w:rFonts w:ascii="Arial" w:hAnsi="Arial" w:cs="Arial"/>
          <w:sz w:val="24"/>
          <w:szCs w:val="24"/>
        </w:rPr>
        <w:t>Całkowity cross – financing w p</w:t>
      </w:r>
      <w:r w:rsidRPr="00515367">
        <w:rPr>
          <w:rFonts w:ascii="Arial" w:hAnsi="Arial" w:cs="Arial"/>
          <w:sz w:val="24"/>
          <w:szCs w:val="24"/>
        </w:rPr>
        <w:t xml:space="preserve">rojekcie: </w:t>
      </w:r>
      <w:r w:rsidRPr="004E10AA">
        <w:rPr>
          <w:rFonts w:ascii="Arial" w:hAnsi="Arial" w:cs="Arial"/>
          <w:sz w:val="24"/>
          <w:szCs w:val="24"/>
        </w:rPr>
        <w:t>100.000 + (100.000 x 10%)= 110.000</w:t>
      </w:r>
    </w:p>
    <w:p w14:paraId="64016503" w14:textId="2421402A" w:rsidR="004E10AA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4E10AA">
        <w:rPr>
          <w:rFonts w:ascii="Arial" w:hAnsi="Arial" w:cs="Arial"/>
          <w:sz w:val="24"/>
          <w:szCs w:val="24"/>
        </w:rPr>
        <w:t xml:space="preserve">wota </w:t>
      </w:r>
      <w:r>
        <w:rPr>
          <w:rFonts w:ascii="Arial" w:hAnsi="Arial" w:cs="Arial"/>
          <w:sz w:val="24"/>
          <w:szCs w:val="24"/>
        </w:rPr>
        <w:t xml:space="preserve">całkowitego cross – financingu w projekcie </w:t>
      </w:r>
      <w:r w:rsidRPr="004E10AA">
        <w:rPr>
          <w:rFonts w:ascii="Arial" w:hAnsi="Arial" w:cs="Arial"/>
          <w:sz w:val="24"/>
          <w:szCs w:val="24"/>
        </w:rPr>
        <w:t>musi się mieścić w limicie procentowym ustalonym w danym naborze.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F1D3C3" w14:textId="77777777" w:rsidR="004E10AA" w:rsidRPr="00092EE5" w:rsidRDefault="004E10AA" w:rsidP="00957D9E">
      <w:pPr>
        <w:spacing w:before="120" w:after="120"/>
        <w:rPr>
          <w:rFonts w:ascii="Arial" w:hAnsi="Arial" w:cs="Arial"/>
          <w:sz w:val="24"/>
          <w:szCs w:val="24"/>
        </w:rPr>
      </w:pPr>
    </w:p>
    <w:p w14:paraId="29778F6B" w14:textId="77777777" w:rsidR="00957D9E" w:rsidRDefault="00957D9E" w:rsidP="00957D9E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Trwałość projektu</w:t>
      </w:r>
    </w:p>
    <w:p w14:paraId="6AC5B3B1" w14:textId="77777777" w:rsidR="00957D9E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35C66">
        <w:rPr>
          <w:rFonts w:ascii="Arial" w:hAnsi="Arial" w:cs="Arial"/>
          <w:sz w:val="24"/>
          <w:szCs w:val="24"/>
        </w:rPr>
        <w:t>achowanie trwałości projektu obowiązuje wyłącznie w odniesieniu do wydatków ponoszonych jako cross-financing lub w sytuacji, gdy projekt podlega obowiązkowi utrzymania inwestycji zgodnie z obowiązującymi zasadami pomocy publicznej.</w:t>
      </w:r>
    </w:p>
    <w:p w14:paraId="3D8B7381" w14:textId="77777777" w:rsidR="00957D9E" w:rsidRPr="00092EE5" w:rsidRDefault="00957D9E" w:rsidP="00957D9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35C66">
        <w:rPr>
          <w:rFonts w:ascii="Arial" w:hAnsi="Arial" w:cs="Arial"/>
          <w:sz w:val="24"/>
          <w:szCs w:val="24"/>
        </w:rPr>
        <w:t>rwałość projektu musi być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zachowana przez okres 5 lat (3 lat w przypadku MŚP – w odniesieniu do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projektów, z którymi związany jest wymóg utrzymania inwestycji lub miejsc pracy)</w:t>
      </w:r>
      <w:r>
        <w:rPr>
          <w:rFonts w:ascii="Arial" w:hAnsi="Arial" w:cs="Arial"/>
          <w:sz w:val="24"/>
          <w:szCs w:val="24"/>
        </w:rPr>
        <w:t xml:space="preserve"> </w:t>
      </w:r>
      <w:r w:rsidRPr="00035C66">
        <w:rPr>
          <w:rFonts w:ascii="Arial" w:hAnsi="Arial" w:cs="Arial"/>
          <w:sz w:val="24"/>
          <w:szCs w:val="24"/>
        </w:rPr>
        <w:t>od daty płatności końcowej na rzecz beneficjenta.</w:t>
      </w:r>
    </w:p>
    <w:p w14:paraId="61B270D5" w14:textId="29DAEC6A" w:rsidR="00B17DF5" w:rsidRDefault="00B17DF5" w:rsidP="00957D9E">
      <w:pPr>
        <w:rPr>
          <w:rFonts w:ascii="Arial" w:hAnsi="Arial" w:cs="Arial"/>
          <w:sz w:val="24"/>
          <w:szCs w:val="24"/>
        </w:rPr>
      </w:pPr>
    </w:p>
    <w:sectPr w:rsidR="00B17DF5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A64" w14:textId="77777777" w:rsidR="00CD005C" w:rsidRDefault="00CD005C" w:rsidP="00B45E80">
      <w:pPr>
        <w:spacing w:after="0" w:line="240" w:lineRule="auto"/>
      </w:pPr>
      <w:r>
        <w:separator/>
      </w:r>
    </w:p>
  </w:endnote>
  <w:endnote w:type="continuationSeparator" w:id="0">
    <w:p w14:paraId="3C10995F" w14:textId="77777777" w:rsidR="00CD005C" w:rsidRDefault="00CD005C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9B91E" w14:textId="77777777" w:rsidR="00CD005C" w:rsidRDefault="00CD005C" w:rsidP="00B45E80">
      <w:pPr>
        <w:spacing w:after="0" w:line="240" w:lineRule="auto"/>
      </w:pPr>
      <w:r>
        <w:separator/>
      </w:r>
    </w:p>
  </w:footnote>
  <w:footnote w:type="continuationSeparator" w:id="0">
    <w:p w14:paraId="5806ED75" w14:textId="77777777" w:rsidR="00CD005C" w:rsidRDefault="00CD005C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C760CBA"/>
    <w:multiLevelType w:val="hybridMultilevel"/>
    <w:tmpl w:val="DB1A1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D124F"/>
    <w:multiLevelType w:val="hybridMultilevel"/>
    <w:tmpl w:val="8F42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295A5D"/>
    <w:multiLevelType w:val="hybridMultilevel"/>
    <w:tmpl w:val="83049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17470">
    <w:abstractNumId w:val="0"/>
  </w:num>
  <w:num w:numId="2" w16cid:durableId="1981691724">
    <w:abstractNumId w:val="2"/>
  </w:num>
  <w:num w:numId="3" w16cid:durableId="751632434">
    <w:abstractNumId w:val="7"/>
  </w:num>
  <w:num w:numId="4" w16cid:durableId="352415833">
    <w:abstractNumId w:val="4"/>
  </w:num>
  <w:num w:numId="5" w16cid:durableId="1489134517">
    <w:abstractNumId w:val="1"/>
  </w:num>
  <w:num w:numId="6" w16cid:durableId="1593122052">
    <w:abstractNumId w:val="6"/>
  </w:num>
  <w:num w:numId="7" w16cid:durableId="710761702">
    <w:abstractNumId w:val="8"/>
  </w:num>
  <w:num w:numId="8" w16cid:durableId="1043748257">
    <w:abstractNumId w:val="5"/>
  </w:num>
  <w:num w:numId="9" w16cid:durableId="1836066167">
    <w:abstractNumId w:val="3"/>
  </w:num>
  <w:num w:numId="10" w16cid:durableId="15518464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22ADF"/>
    <w:rsid w:val="00032237"/>
    <w:rsid w:val="00033E1A"/>
    <w:rsid w:val="00035259"/>
    <w:rsid w:val="00035C66"/>
    <w:rsid w:val="000451CE"/>
    <w:rsid w:val="00056F5A"/>
    <w:rsid w:val="00062A25"/>
    <w:rsid w:val="00074FBE"/>
    <w:rsid w:val="0007591F"/>
    <w:rsid w:val="00085366"/>
    <w:rsid w:val="00092EE5"/>
    <w:rsid w:val="00094D95"/>
    <w:rsid w:val="000A6C82"/>
    <w:rsid w:val="000B6A49"/>
    <w:rsid w:val="000C6380"/>
    <w:rsid w:val="000D3E86"/>
    <w:rsid w:val="000D5839"/>
    <w:rsid w:val="000E2C73"/>
    <w:rsid w:val="000E39B7"/>
    <w:rsid w:val="000E3EB3"/>
    <w:rsid w:val="000E4836"/>
    <w:rsid w:val="000F0C16"/>
    <w:rsid w:val="000F73D6"/>
    <w:rsid w:val="001007C5"/>
    <w:rsid w:val="001111F0"/>
    <w:rsid w:val="00130CC1"/>
    <w:rsid w:val="00142089"/>
    <w:rsid w:val="00143A41"/>
    <w:rsid w:val="0014768D"/>
    <w:rsid w:val="00147DB2"/>
    <w:rsid w:val="001623E9"/>
    <w:rsid w:val="00166E4F"/>
    <w:rsid w:val="00176389"/>
    <w:rsid w:val="00195937"/>
    <w:rsid w:val="00195C78"/>
    <w:rsid w:val="001A27C6"/>
    <w:rsid w:val="001B4DD0"/>
    <w:rsid w:val="001B64D7"/>
    <w:rsid w:val="001B7673"/>
    <w:rsid w:val="001D4129"/>
    <w:rsid w:val="001D68A1"/>
    <w:rsid w:val="001E4127"/>
    <w:rsid w:val="001E79DC"/>
    <w:rsid w:val="001F2401"/>
    <w:rsid w:val="0020162E"/>
    <w:rsid w:val="002421A5"/>
    <w:rsid w:val="00246E3F"/>
    <w:rsid w:val="00257E67"/>
    <w:rsid w:val="0026477B"/>
    <w:rsid w:val="00272418"/>
    <w:rsid w:val="00280593"/>
    <w:rsid w:val="00294C81"/>
    <w:rsid w:val="002A495B"/>
    <w:rsid w:val="002B5E44"/>
    <w:rsid w:val="002E1FEF"/>
    <w:rsid w:val="002F4194"/>
    <w:rsid w:val="003016E3"/>
    <w:rsid w:val="00301F43"/>
    <w:rsid w:val="00315401"/>
    <w:rsid w:val="00316625"/>
    <w:rsid w:val="00320DF9"/>
    <w:rsid w:val="00337438"/>
    <w:rsid w:val="003434B8"/>
    <w:rsid w:val="003456DF"/>
    <w:rsid w:val="00363AC4"/>
    <w:rsid w:val="003949C3"/>
    <w:rsid w:val="003968EF"/>
    <w:rsid w:val="003A2611"/>
    <w:rsid w:val="003A4DB3"/>
    <w:rsid w:val="003A6555"/>
    <w:rsid w:val="003B44AF"/>
    <w:rsid w:val="003B5121"/>
    <w:rsid w:val="003C3A35"/>
    <w:rsid w:val="003C6C3B"/>
    <w:rsid w:val="003D225B"/>
    <w:rsid w:val="003E20BB"/>
    <w:rsid w:val="003F57C4"/>
    <w:rsid w:val="003F733B"/>
    <w:rsid w:val="00401431"/>
    <w:rsid w:val="00410C48"/>
    <w:rsid w:val="0043427C"/>
    <w:rsid w:val="004357C6"/>
    <w:rsid w:val="00443153"/>
    <w:rsid w:val="004445D4"/>
    <w:rsid w:val="00455C98"/>
    <w:rsid w:val="00456C66"/>
    <w:rsid w:val="004747DC"/>
    <w:rsid w:val="00482F6B"/>
    <w:rsid w:val="00485168"/>
    <w:rsid w:val="00492A5F"/>
    <w:rsid w:val="004A27D7"/>
    <w:rsid w:val="004A4C25"/>
    <w:rsid w:val="004B0011"/>
    <w:rsid w:val="004B38A8"/>
    <w:rsid w:val="004B64E8"/>
    <w:rsid w:val="004E10AA"/>
    <w:rsid w:val="005021ED"/>
    <w:rsid w:val="0050346D"/>
    <w:rsid w:val="005068CD"/>
    <w:rsid w:val="00510829"/>
    <w:rsid w:val="00512629"/>
    <w:rsid w:val="00515367"/>
    <w:rsid w:val="00515A47"/>
    <w:rsid w:val="00522526"/>
    <w:rsid w:val="005539B2"/>
    <w:rsid w:val="005651C5"/>
    <w:rsid w:val="00574928"/>
    <w:rsid w:val="00582110"/>
    <w:rsid w:val="00596D80"/>
    <w:rsid w:val="005A09C5"/>
    <w:rsid w:val="005A711A"/>
    <w:rsid w:val="005C1577"/>
    <w:rsid w:val="005D6E06"/>
    <w:rsid w:val="005E3DD8"/>
    <w:rsid w:val="005E4771"/>
    <w:rsid w:val="005E4C42"/>
    <w:rsid w:val="005E7E03"/>
    <w:rsid w:val="005F6313"/>
    <w:rsid w:val="00622A3C"/>
    <w:rsid w:val="00634254"/>
    <w:rsid w:val="00634D4E"/>
    <w:rsid w:val="0064717A"/>
    <w:rsid w:val="0065090B"/>
    <w:rsid w:val="00680812"/>
    <w:rsid w:val="00680D79"/>
    <w:rsid w:val="00681718"/>
    <w:rsid w:val="00686E47"/>
    <w:rsid w:val="006A522A"/>
    <w:rsid w:val="006D164D"/>
    <w:rsid w:val="006D4C09"/>
    <w:rsid w:val="006D68B2"/>
    <w:rsid w:val="006F48F8"/>
    <w:rsid w:val="006F53DA"/>
    <w:rsid w:val="00701839"/>
    <w:rsid w:val="00706693"/>
    <w:rsid w:val="007208BA"/>
    <w:rsid w:val="00742A4F"/>
    <w:rsid w:val="0077066F"/>
    <w:rsid w:val="00770F11"/>
    <w:rsid w:val="00795AD2"/>
    <w:rsid w:val="007A413D"/>
    <w:rsid w:val="007A5005"/>
    <w:rsid w:val="007B1131"/>
    <w:rsid w:val="007B2D9D"/>
    <w:rsid w:val="007C6CFE"/>
    <w:rsid w:val="007D4986"/>
    <w:rsid w:val="007F6729"/>
    <w:rsid w:val="00812981"/>
    <w:rsid w:val="00813669"/>
    <w:rsid w:val="00823425"/>
    <w:rsid w:val="0082443B"/>
    <w:rsid w:val="00826877"/>
    <w:rsid w:val="00834CEB"/>
    <w:rsid w:val="008430CE"/>
    <w:rsid w:val="008531CF"/>
    <w:rsid w:val="00860AE4"/>
    <w:rsid w:val="00875230"/>
    <w:rsid w:val="00875C00"/>
    <w:rsid w:val="00883C94"/>
    <w:rsid w:val="00887C1C"/>
    <w:rsid w:val="00890FD3"/>
    <w:rsid w:val="008915A1"/>
    <w:rsid w:val="00895144"/>
    <w:rsid w:val="008970C1"/>
    <w:rsid w:val="008A22D7"/>
    <w:rsid w:val="008A3046"/>
    <w:rsid w:val="008C5687"/>
    <w:rsid w:val="008C6F44"/>
    <w:rsid w:val="008C756E"/>
    <w:rsid w:val="008C776F"/>
    <w:rsid w:val="008D206C"/>
    <w:rsid w:val="008D3723"/>
    <w:rsid w:val="008D720F"/>
    <w:rsid w:val="008E2174"/>
    <w:rsid w:val="008E2696"/>
    <w:rsid w:val="009113F7"/>
    <w:rsid w:val="00920DA3"/>
    <w:rsid w:val="009268C8"/>
    <w:rsid w:val="0093686B"/>
    <w:rsid w:val="00941692"/>
    <w:rsid w:val="0094548E"/>
    <w:rsid w:val="009473D0"/>
    <w:rsid w:val="0095132B"/>
    <w:rsid w:val="00957D9E"/>
    <w:rsid w:val="00971039"/>
    <w:rsid w:val="009801B7"/>
    <w:rsid w:val="00983DA0"/>
    <w:rsid w:val="00985696"/>
    <w:rsid w:val="00985772"/>
    <w:rsid w:val="009934D9"/>
    <w:rsid w:val="009961AC"/>
    <w:rsid w:val="00996F23"/>
    <w:rsid w:val="009A0FBB"/>
    <w:rsid w:val="009A5589"/>
    <w:rsid w:val="009B4FD0"/>
    <w:rsid w:val="009C1FCE"/>
    <w:rsid w:val="009E3B5F"/>
    <w:rsid w:val="009F534B"/>
    <w:rsid w:val="00A10DDD"/>
    <w:rsid w:val="00A126B9"/>
    <w:rsid w:val="00A2129A"/>
    <w:rsid w:val="00A354D6"/>
    <w:rsid w:val="00A443E1"/>
    <w:rsid w:val="00A66F03"/>
    <w:rsid w:val="00AA4539"/>
    <w:rsid w:val="00AB7371"/>
    <w:rsid w:val="00AC00C7"/>
    <w:rsid w:val="00AC327A"/>
    <w:rsid w:val="00AC50C1"/>
    <w:rsid w:val="00AC6BCB"/>
    <w:rsid w:val="00AC759B"/>
    <w:rsid w:val="00AD0DBB"/>
    <w:rsid w:val="00AD0F77"/>
    <w:rsid w:val="00AD4AF9"/>
    <w:rsid w:val="00AF4860"/>
    <w:rsid w:val="00B119EA"/>
    <w:rsid w:val="00B157D8"/>
    <w:rsid w:val="00B17DF5"/>
    <w:rsid w:val="00B205F7"/>
    <w:rsid w:val="00B2511E"/>
    <w:rsid w:val="00B26E66"/>
    <w:rsid w:val="00B27785"/>
    <w:rsid w:val="00B35AC0"/>
    <w:rsid w:val="00B45E80"/>
    <w:rsid w:val="00B64179"/>
    <w:rsid w:val="00B7177D"/>
    <w:rsid w:val="00B731D3"/>
    <w:rsid w:val="00B9462C"/>
    <w:rsid w:val="00BA26D2"/>
    <w:rsid w:val="00BB0411"/>
    <w:rsid w:val="00BB1867"/>
    <w:rsid w:val="00BB5C7A"/>
    <w:rsid w:val="00BB7C61"/>
    <w:rsid w:val="00BC3DC4"/>
    <w:rsid w:val="00BE09CA"/>
    <w:rsid w:val="00C027C5"/>
    <w:rsid w:val="00C02E32"/>
    <w:rsid w:val="00C060F0"/>
    <w:rsid w:val="00C373CA"/>
    <w:rsid w:val="00C72B15"/>
    <w:rsid w:val="00C90AD5"/>
    <w:rsid w:val="00C912F6"/>
    <w:rsid w:val="00C91FEC"/>
    <w:rsid w:val="00C94746"/>
    <w:rsid w:val="00CA1474"/>
    <w:rsid w:val="00CA2326"/>
    <w:rsid w:val="00CB2F05"/>
    <w:rsid w:val="00CC2E97"/>
    <w:rsid w:val="00CD005C"/>
    <w:rsid w:val="00D01101"/>
    <w:rsid w:val="00D07690"/>
    <w:rsid w:val="00D172C2"/>
    <w:rsid w:val="00D17C19"/>
    <w:rsid w:val="00D23AC9"/>
    <w:rsid w:val="00D30561"/>
    <w:rsid w:val="00D30989"/>
    <w:rsid w:val="00D30A05"/>
    <w:rsid w:val="00D36910"/>
    <w:rsid w:val="00D36D6C"/>
    <w:rsid w:val="00D4471B"/>
    <w:rsid w:val="00D710C0"/>
    <w:rsid w:val="00D72B70"/>
    <w:rsid w:val="00D77803"/>
    <w:rsid w:val="00D85117"/>
    <w:rsid w:val="00DA28B1"/>
    <w:rsid w:val="00DA2CB7"/>
    <w:rsid w:val="00DA4014"/>
    <w:rsid w:val="00DA79D0"/>
    <w:rsid w:val="00DB2ECB"/>
    <w:rsid w:val="00DB4B6C"/>
    <w:rsid w:val="00DF2687"/>
    <w:rsid w:val="00DF5B9F"/>
    <w:rsid w:val="00E05786"/>
    <w:rsid w:val="00E06DEE"/>
    <w:rsid w:val="00E31283"/>
    <w:rsid w:val="00E3355F"/>
    <w:rsid w:val="00E3510B"/>
    <w:rsid w:val="00E60EF4"/>
    <w:rsid w:val="00E65565"/>
    <w:rsid w:val="00E67BF8"/>
    <w:rsid w:val="00E72546"/>
    <w:rsid w:val="00E74FB5"/>
    <w:rsid w:val="00E80D77"/>
    <w:rsid w:val="00E963F5"/>
    <w:rsid w:val="00EA310E"/>
    <w:rsid w:val="00EA3FF8"/>
    <w:rsid w:val="00EB17A2"/>
    <w:rsid w:val="00EE5A8A"/>
    <w:rsid w:val="00EE5CD8"/>
    <w:rsid w:val="00EE6A8E"/>
    <w:rsid w:val="00EE7488"/>
    <w:rsid w:val="00EE7D2E"/>
    <w:rsid w:val="00EF0BB4"/>
    <w:rsid w:val="00F006D6"/>
    <w:rsid w:val="00F03D4E"/>
    <w:rsid w:val="00F05A49"/>
    <w:rsid w:val="00F05B81"/>
    <w:rsid w:val="00F060CD"/>
    <w:rsid w:val="00F15353"/>
    <w:rsid w:val="00F3731E"/>
    <w:rsid w:val="00F37EB7"/>
    <w:rsid w:val="00F44D67"/>
    <w:rsid w:val="00F56C6D"/>
    <w:rsid w:val="00F56E8F"/>
    <w:rsid w:val="00F56F5A"/>
    <w:rsid w:val="00F86CE1"/>
    <w:rsid w:val="00F90BEC"/>
    <w:rsid w:val="00FB2B51"/>
    <w:rsid w:val="00FD540D"/>
    <w:rsid w:val="00FD6BCC"/>
    <w:rsid w:val="00FF134B"/>
    <w:rsid w:val="00FF2672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link w:val="DefaultZnak"/>
    <w:qFormat/>
    <w:rsid w:val="008C77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customStyle="1" w:styleId="DefaultZnak">
    <w:name w:val="Default Znak"/>
    <w:link w:val="Default"/>
    <w:rsid w:val="008C776F"/>
    <w:rPr>
      <w:rFonts w:ascii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22</Pages>
  <Words>4096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Małgorzata Dembińska</cp:lastModifiedBy>
  <cp:revision>160</cp:revision>
  <cp:lastPrinted>2023-08-03T12:20:00Z</cp:lastPrinted>
  <dcterms:created xsi:type="dcterms:W3CDTF">2023-05-22T12:17:00Z</dcterms:created>
  <dcterms:modified xsi:type="dcterms:W3CDTF">2023-09-19T10:33:00Z</dcterms:modified>
</cp:coreProperties>
</file>