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EE7" w:rsidRDefault="00B35EE7" w:rsidP="00B35EE7">
      <w:pPr>
        <w:pStyle w:val="Default"/>
      </w:pPr>
    </w:p>
    <w:p w:rsidR="003F48CD" w:rsidRDefault="003F48CD" w:rsidP="00B35EE7">
      <w:pPr>
        <w:pStyle w:val="Default"/>
        <w:jc w:val="center"/>
        <w:rPr>
          <w:b/>
          <w:bCs/>
          <w:sz w:val="22"/>
          <w:szCs w:val="22"/>
        </w:rPr>
      </w:pPr>
    </w:p>
    <w:p w:rsidR="00B35EE7" w:rsidRDefault="00B35EE7" w:rsidP="00B35EE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Standard oraz ceny rynkowe najczęściej finansowanych wydatków w projektach w ramach Poddziałania 9.</w:t>
      </w:r>
      <w:r w:rsidR="0041444B">
        <w:rPr>
          <w:b/>
          <w:bCs/>
          <w:sz w:val="22"/>
          <w:szCs w:val="22"/>
        </w:rPr>
        <w:t>4</w:t>
      </w:r>
      <w:r w:rsidR="003F48CD">
        <w:rPr>
          <w:b/>
          <w:bCs/>
          <w:sz w:val="22"/>
          <w:szCs w:val="22"/>
        </w:rPr>
        <w:t>.</w:t>
      </w:r>
      <w:r w:rsidR="0041444B">
        <w:rPr>
          <w:b/>
          <w:bCs/>
          <w:sz w:val="22"/>
          <w:szCs w:val="22"/>
        </w:rPr>
        <w:t>1</w:t>
      </w:r>
    </w:p>
    <w:p w:rsidR="00B35EE7" w:rsidRDefault="00B35EE7" w:rsidP="00B35EE7">
      <w:pPr>
        <w:pStyle w:val="Default"/>
        <w:jc w:val="both"/>
        <w:rPr>
          <w:sz w:val="22"/>
          <w:szCs w:val="22"/>
        </w:rPr>
      </w:pPr>
    </w:p>
    <w:p w:rsidR="003F48CD" w:rsidRP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  <w:r w:rsidRPr="003F48CD">
        <w:rPr>
          <w:sz w:val="22"/>
          <w:szCs w:val="22"/>
        </w:rPr>
        <w:t>Dokument ten określa k</w:t>
      </w:r>
      <w:r w:rsidR="00B35EE7" w:rsidRPr="003F48CD">
        <w:rPr>
          <w:sz w:val="22"/>
          <w:szCs w:val="22"/>
        </w:rPr>
        <w:t xml:space="preserve">atalog </w:t>
      </w:r>
      <w:r w:rsidRPr="003F48CD">
        <w:rPr>
          <w:sz w:val="22"/>
          <w:szCs w:val="22"/>
        </w:rPr>
        <w:t>najczęściej finansowanych k</w:t>
      </w:r>
      <w:r w:rsidR="00CB1442">
        <w:rPr>
          <w:sz w:val="22"/>
          <w:szCs w:val="22"/>
        </w:rPr>
        <w:t>osztów w ramach Poddziałania 9.</w:t>
      </w:r>
      <w:r w:rsidR="0041444B">
        <w:rPr>
          <w:sz w:val="22"/>
          <w:szCs w:val="22"/>
        </w:rPr>
        <w:t>4</w:t>
      </w:r>
      <w:r w:rsidRPr="003F48CD">
        <w:rPr>
          <w:sz w:val="22"/>
          <w:szCs w:val="22"/>
        </w:rPr>
        <w:t>.</w:t>
      </w:r>
      <w:r w:rsidR="0041444B">
        <w:rPr>
          <w:sz w:val="22"/>
          <w:szCs w:val="22"/>
        </w:rPr>
        <w:t>1</w:t>
      </w:r>
      <w:r w:rsidRPr="003F48CD">
        <w:rPr>
          <w:sz w:val="22"/>
          <w:szCs w:val="22"/>
        </w:rPr>
        <w:t xml:space="preserve"> </w:t>
      </w:r>
      <w:r w:rsidR="00332BB3">
        <w:rPr>
          <w:i/>
          <w:sz w:val="22"/>
          <w:szCs w:val="22"/>
        </w:rPr>
        <w:t>Rozwój podmiotów sektora ekonomii społecznej</w:t>
      </w:r>
      <w:r w:rsidRPr="003F48CD">
        <w:rPr>
          <w:i/>
          <w:sz w:val="22"/>
          <w:szCs w:val="22"/>
        </w:rPr>
        <w:t xml:space="preserve"> </w:t>
      </w:r>
      <w:r w:rsidR="00032891">
        <w:rPr>
          <w:sz w:val="22"/>
          <w:szCs w:val="22"/>
        </w:rPr>
        <w:t>i</w:t>
      </w:r>
      <w:r w:rsidRPr="003F48CD">
        <w:rPr>
          <w:sz w:val="22"/>
          <w:szCs w:val="22"/>
        </w:rPr>
        <w:t xml:space="preserve"> zawiera zalecenia odnośnie</w:t>
      </w:r>
      <w:r w:rsidR="00032891">
        <w:rPr>
          <w:sz w:val="22"/>
          <w:szCs w:val="22"/>
        </w:rPr>
        <w:t xml:space="preserve"> do</w:t>
      </w:r>
      <w:r w:rsidRPr="003F48CD">
        <w:rPr>
          <w:sz w:val="22"/>
          <w:szCs w:val="22"/>
        </w:rPr>
        <w:t xml:space="preserve"> zasad konstruowania budżetu szczegółowego projektu.</w:t>
      </w:r>
    </w:p>
    <w:p w:rsidR="003F48CD" w:rsidRP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</w:p>
    <w:p w:rsidR="00B35EE7" w:rsidRP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  <w:r w:rsidRPr="003F48CD">
        <w:rPr>
          <w:sz w:val="22"/>
          <w:szCs w:val="22"/>
        </w:rPr>
        <w:t>Katalog kosztów nie ma charakteru zamkniętego</w:t>
      </w:r>
      <w:r w:rsidR="00B35EE7" w:rsidRPr="003F48CD">
        <w:rPr>
          <w:sz w:val="22"/>
          <w:szCs w:val="22"/>
        </w:rPr>
        <w:t xml:space="preserve">. Dopuszczalne jest ujmowanie w projekcie innych kosztów, które są niezbędne do jego realizacji. Stawki wyszczególnione w zestawieniu są stawkami maksymalnymi, jednak nie oznacza to automatycznego akceptowania przez oceniających stawek założonych na maksymalnym poziomie (brane pod uwagę będą takie czynniki jak: specyfika projektu, stopień złożoności projektu, wielkość grupy docelowej, miejsce realizacji). </w:t>
      </w:r>
    </w:p>
    <w:p w:rsidR="003F48CD" w:rsidRP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</w:p>
    <w:p w:rsidR="00B35EE7" w:rsidRPr="003F48CD" w:rsidRDefault="00B35EE7" w:rsidP="003F48CD">
      <w:pPr>
        <w:pStyle w:val="Default"/>
        <w:spacing w:line="276" w:lineRule="auto"/>
        <w:jc w:val="both"/>
        <w:rPr>
          <w:sz w:val="22"/>
          <w:szCs w:val="22"/>
        </w:rPr>
      </w:pPr>
      <w:r w:rsidRPr="003F48CD">
        <w:rPr>
          <w:sz w:val="22"/>
          <w:szCs w:val="22"/>
        </w:rPr>
        <w:t>Kwoty ujęte w zestawieniu uwzględniają wartość brutto wydatku</w:t>
      </w:r>
      <w:r w:rsidR="004718E5">
        <w:rPr>
          <w:sz w:val="22"/>
          <w:szCs w:val="22"/>
        </w:rPr>
        <w:t xml:space="preserve"> (z wyjątkiem wynagrodzeń, które są szacowane z uwzględnieniem kosztów pracodawcy)</w:t>
      </w:r>
      <w:r w:rsidRPr="003F48CD">
        <w:rPr>
          <w:sz w:val="22"/>
          <w:szCs w:val="22"/>
        </w:rPr>
        <w:t xml:space="preserve">. </w:t>
      </w:r>
    </w:p>
    <w:p w:rsidR="003F48CD" w:rsidRDefault="003F48CD" w:rsidP="003F48CD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39"/>
        <w:gridCol w:w="1701"/>
        <w:gridCol w:w="4772"/>
        <w:gridCol w:w="29"/>
      </w:tblGrid>
      <w:tr w:rsidR="003F48CD" w:rsidRPr="00EF051F" w:rsidTr="00CD441B">
        <w:trPr>
          <w:trHeight w:val="504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3F48CD" w:rsidRPr="00EF051F" w:rsidRDefault="003F48CD" w:rsidP="00A449D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3F48CD" w:rsidRPr="00EF051F" w:rsidRDefault="00AA63D8" w:rsidP="00A449D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Rodzaj </w:t>
            </w:r>
            <w:r w:rsidR="003F48CD"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F48CD" w:rsidRPr="00EF051F" w:rsidRDefault="00AA63D8" w:rsidP="00A449D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Maksymalny koszt</w:t>
            </w:r>
          </w:p>
        </w:tc>
        <w:tc>
          <w:tcPr>
            <w:tcW w:w="4801" w:type="dxa"/>
            <w:gridSpan w:val="2"/>
            <w:shd w:val="clear" w:color="auto" w:fill="D9D9D9" w:themeFill="background1" w:themeFillShade="D9"/>
          </w:tcPr>
          <w:p w:rsidR="003F48CD" w:rsidRPr="00EF051F" w:rsidRDefault="00AA63D8" w:rsidP="00AA63D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Oczekiwany standard/Uzasadnienie</w:t>
            </w:r>
          </w:p>
        </w:tc>
      </w:tr>
      <w:tr w:rsidR="00B6299A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B6299A" w:rsidRPr="00EF051F" w:rsidRDefault="00317BB1" w:rsidP="00051191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:rsidR="00B6299A" w:rsidRPr="00EF051F" w:rsidRDefault="00C958F0" w:rsidP="00051191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Animator</w:t>
            </w:r>
          </w:p>
        </w:tc>
        <w:tc>
          <w:tcPr>
            <w:tcW w:w="1701" w:type="dxa"/>
            <w:vAlign w:val="center"/>
          </w:tcPr>
          <w:p w:rsidR="00B6299A" w:rsidRPr="00EF051F" w:rsidRDefault="00D34BF4" w:rsidP="0005119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="00707DFB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C958F0" w:rsidRPr="00EF051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31430E" w:rsidRPr="00EF051F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  <w:r w:rsidR="004829D4" w:rsidRPr="00EF051F"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  <w:r w:rsidR="005D7716" w:rsidRPr="00EF051F">
              <w:rPr>
                <w:rFonts w:asciiTheme="minorHAnsi" w:hAnsiTheme="minorHAnsi" w:cstheme="minorHAnsi"/>
                <w:sz w:val="20"/>
                <w:szCs w:val="20"/>
              </w:rPr>
              <w:t xml:space="preserve"> etat</w:t>
            </w:r>
          </w:p>
        </w:tc>
        <w:tc>
          <w:tcPr>
            <w:tcW w:w="4801" w:type="dxa"/>
            <w:gridSpan w:val="2"/>
          </w:tcPr>
          <w:p w:rsidR="00B6299A" w:rsidRPr="00EF051F" w:rsidRDefault="009D085D" w:rsidP="00FE0C3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Maksymalny koszt dotyczy roku 2019 i może być zwiększony w kolejnych latach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kolejne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6%.</w:t>
            </w:r>
          </w:p>
        </w:tc>
      </w:tr>
      <w:tr w:rsidR="00B6299A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B6299A" w:rsidRPr="00EF051F" w:rsidRDefault="00317BB1" w:rsidP="00051191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39" w:type="dxa"/>
            <w:vAlign w:val="center"/>
          </w:tcPr>
          <w:p w:rsidR="00B6299A" w:rsidRPr="00EF051F" w:rsidRDefault="00C958F0" w:rsidP="00051191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Edukatorzy</w:t>
            </w:r>
          </w:p>
        </w:tc>
        <w:tc>
          <w:tcPr>
            <w:tcW w:w="1701" w:type="dxa"/>
            <w:vAlign w:val="center"/>
          </w:tcPr>
          <w:p w:rsidR="00B6299A" w:rsidRPr="00EF051F" w:rsidRDefault="00C958F0" w:rsidP="0005119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="00707DFB">
              <w:rPr>
                <w:rFonts w:asciiTheme="minorHAnsi" w:hAnsiTheme="minorHAnsi" w:cstheme="minorHAnsi"/>
                <w:sz w:val="20"/>
                <w:szCs w:val="20"/>
              </w:rPr>
              <w:t>512</w:t>
            </w:r>
            <w:r w:rsidR="004829D4" w:rsidRPr="00EF051F">
              <w:rPr>
                <w:rFonts w:asciiTheme="minorHAnsi" w:hAnsiTheme="minorHAnsi" w:cstheme="minorHAnsi"/>
                <w:sz w:val="20"/>
                <w:szCs w:val="20"/>
              </w:rPr>
              <w:t>,00 zł</w:t>
            </w:r>
            <w:r w:rsidR="009E4220" w:rsidRPr="00EF051F">
              <w:rPr>
                <w:rFonts w:asciiTheme="minorHAnsi" w:hAnsiTheme="minorHAnsi" w:cstheme="minorHAnsi"/>
                <w:sz w:val="20"/>
                <w:szCs w:val="20"/>
              </w:rPr>
              <w:t xml:space="preserve"> etat</w:t>
            </w:r>
          </w:p>
        </w:tc>
        <w:tc>
          <w:tcPr>
            <w:tcW w:w="4801" w:type="dxa"/>
            <w:gridSpan w:val="2"/>
          </w:tcPr>
          <w:p w:rsidR="00B6299A" w:rsidRPr="00EF051F" w:rsidRDefault="009D085D" w:rsidP="00A449D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Maksymalny koszt dotyczy roku 2019 i może być zwiększony w kolejnych latach o kolejne 6%.</w:t>
            </w:r>
          </w:p>
        </w:tc>
      </w:tr>
      <w:tr w:rsidR="004829D4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4829D4" w:rsidRPr="00EF051F" w:rsidRDefault="00317BB1" w:rsidP="00051191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:rsidR="004829D4" w:rsidRPr="00EF051F" w:rsidRDefault="00C958F0" w:rsidP="00051191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Doradca kluczowy</w:t>
            </w:r>
          </w:p>
        </w:tc>
        <w:tc>
          <w:tcPr>
            <w:tcW w:w="1701" w:type="dxa"/>
            <w:vAlign w:val="center"/>
          </w:tcPr>
          <w:p w:rsidR="004829D4" w:rsidRPr="00EF051F" w:rsidRDefault="00D34BF4" w:rsidP="0005119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="00707DFB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 w:rsidR="004829D4" w:rsidRPr="00EF051F">
              <w:rPr>
                <w:rFonts w:asciiTheme="minorHAnsi" w:hAnsiTheme="minorHAnsi" w:cstheme="minorHAnsi"/>
                <w:sz w:val="20"/>
                <w:szCs w:val="20"/>
              </w:rPr>
              <w:t xml:space="preserve"> zł etat</w:t>
            </w:r>
          </w:p>
        </w:tc>
        <w:tc>
          <w:tcPr>
            <w:tcW w:w="4801" w:type="dxa"/>
            <w:gridSpan w:val="2"/>
          </w:tcPr>
          <w:p w:rsidR="004829D4" w:rsidRPr="00EF051F" w:rsidRDefault="009D085D" w:rsidP="004829D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Maksymalny koszt dotyczy roku 2019 i może być zwiększony w kolejnych latach o kolejne 6%.</w:t>
            </w:r>
          </w:p>
        </w:tc>
      </w:tr>
      <w:tr w:rsidR="004829D4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4829D4" w:rsidRPr="00EF051F" w:rsidRDefault="00317BB1" w:rsidP="00051191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9" w:type="dxa"/>
            <w:vAlign w:val="center"/>
          </w:tcPr>
          <w:p w:rsidR="004829D4" w:rsidRPr="00EF051F" w:rsidRDefault="00C958F0" w:rsidP="00051191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Doradca biznesowy</w:t>
            </w:r>
          </w:p>
        </w:tc>
        <w:tc>
          <w:tcPr>
            <w:tcW w:w="1701" w:type="dxa"/>
            <w:vAlign w:val="center"/>
          </w:tcPr>
          <w:p w:rsidR="004829D4" w:rsidRPr="00EF051F" w:rsidRDefault="00707DFB" w:rsidP="0005119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6.254</w:t>
            </w:r>
            <w:r w:rsidR="00D34BF4" w:rsidRPr="00EF051F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  <w:r w:rsidR="004829D4" w:rsidRPr="00EF051F">
              <w:rPr>
                <w:rFonts w:asciiTheme="minorHAnsi" w:hAnsiTheme="minorHAnsi" w:cstheme="minorHAnsi"/>
                <w:sz w:val="20"/>
                <w:szCs w:val="20"/>
              </w:rPr>
              <w:t xml:space="preserve"> zł  etat</w:t>
            </w:r>
          </w:p>
        </w:tc>
        <w:tc>
          <w:tcPr>
            <w:tcW w:w="4801" w:type="dxa"/>
            <w:gridSpan w:val="2"/>
          </w:tcPr>
          <w:p w:rsidR="004829D4" w:rsidRPr="00EF051F" w:rsidRDefault="009D085D" w:rsidP="004829D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Maksymalny koszt dotyczy roku 2019 i może być zwiększony w kolejnych latach o kolejne 6%.</w:t>
            </w:r>
          </w:p>
        </w:tc>
      </w:tr>
      <w:tr w:rsidR="00EF051F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39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Specjalista ds. aktywizacji społecznej</w:t>
            </w:r>
          </w:p>
        </w:tc>
        <w:tc>
          <w:tcPr>
            <w:tcW w:w="1701" w:type="dxa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="00707DF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00,00 zł etat</w:t>
            </w:r>
          </w:p>
        </w:tc>
        <w:tc>
          <w:tcPr>
            <w:tcW w:w="4801" w:type="dxa"/>
            <w:gridSpan w:val="2"/>
          </w:tcPr>
          <w:p w:rsidR="00EF051F" w:rsidRPr="00EF051F" w:rsidRDefault="009D085D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Maksymalny koszt dotyczy roku 2019 i może być zwiększony w kolejnych latach o kolejne 6%.</w:t>
            </w:r>
          </w:p>
        </w:tc>
      </w:tr>
      <w:tr w:rsidR="00EF051F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39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sz w:val="20"/>
                <w:szCs w:val="20"/>
              </w:rPr>
              <w:t>Specjalista ds. kooperatyw</w:t>
            </w:r>
          </w:p>
        </w:tc>
        <w:tc>
          <w:tcPr>
            <w:tcW w:w="1701" w:type="dxa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="00707DFB">
              <w:rPr>
                <w:rFonts w:asciiTheme="minorHAnsi" w:hAnsiTheme="minorHAnsi" w:cstheme="minorHAnsi"/>
                <w:sz w:val="20"/>
                <w:szCs w:val="20"/>
              </w:rPr>
              <w:t>512</w:t>
            </w: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,00 zł etat</w:t>
            </w:r>
          </w:p>
        </w:tc>
        <w:tc>
          <w:tcPr>
            <w:tcW w:w="4801" w:type="dxa"/>
            <w:gridSpan w:val="2"/>
          </w:tcPr>
          <w:p w:rsidR="00EF051F" w:rsidRPr="00EF051F" w:rsidRDefault="009D085D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Maksymalny koszt dotyczy roku 2019 i może być zwiększony w kolejnych latach o kolejne 6%.</w:t>
            </w:r>
          </w:p>
        </w:tc>
      </w:tr>
      <w:tr w:rsidR="00EF051F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39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Specjalista ds. przedsiębiorczości</w:t>
            </w:r>
          </w:p>
        </w:tc>
        <w:tc>
          <w:tcPr>
            <w:tcW w:w="1701" w:type="dxa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="00707DFB">
              <w:rPr>
                <w:rFonts w:asciiTheme="minorHAnsi" w:hAnsiTheme="minorHAnsi" w:cstheme="minorHAnsi"/>
                <w:sz w:val="20"/>
                <w:szCs w:val="20"/>
              </w:rPr>
              <w:t>512</w:t>
            </w: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 xml:space="preserve">,00 zł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etat</w:t>
            </w:r>
          </w:p>
        </w:tc>
        <w:tc>
          <w:tcPr>
            <w:tcW w:w="4801" w:type="dxa"/>
            <w:gridSpan w:val="2"/>
          </w:tcPr>
          <w:p w:rsidR="00EF051F" w:rsidRPr="00EF051F" w:rsidRDefault="009D085D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Maksymalny koszt dotyczy roku 2019 i może być zwiększony w kolejnych latach o kolejne 6%.</w:t>
            </w:r>
          </w:p>
        </w:tc>
      </w:tr>
      <w:tr w:rsidR="00EF051F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39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Specjalista </w:t>
            </w:r>
            <w:r w:rsidR="00744D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ds.</w:t>
            </w: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zamówień publicznych</w:t>
            </w:r>
          </w:p>
        </w:tc>
        <w:tc>
          <w:tcPr>
            <w:tcW w:w="1701" w:type="dxa"/>
            <w:vAlign w:val="center"/>
          </w:tcPr>
          <w:p w:rsidR="00EF051F" w:rsidRPr="00EF051F" w:rsidRDefault="00EF051F" w:rsidP="00EF051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051F">
              <w:rPr>
                <w:rFonts w:cstheme="minorHAnsi"/>
                <w:sz w:val="20"/>
                <w:szCs w:val="20"/>
              </w:rPr>
              <w:t>5</w:t>
            </w:r>
            <w:r w:rsidR="00707DFB">
              <w:rPr>
                <w:rFonts w:cstheme="minorHAnsi"/>
                <w:sz w:val="20"/>
                <w:szCs w:val="20"/>
              </w:rPr>
              <w:t>.512</w:t>
            </w:r>
            <w:r w:rsidRPr="00EF051F">
              <w:rPr>
                <w:rFonts w:cstheme="minorHAnsi"/>
                <w:sz w:val="20"/>
                <w:szCs w:val="20"/>
              </w:rPr>
              <w:t>,00 zł  etat</w:t>
            </w:r>
          </w:p>
        </w:tc>
        <w:tc>
          <w:tcPr>
            <w:tcW w:w="4801" w:type="dxa"/>
            <w:gridSpan w:val="2"/>
          </w:tcPr>
          <w:p w:rsidR="00EF051F" w:rsidRPr="00EF051F" w:rsidRDefault="009D085D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Maksymalny koszt dotyczy roku 2019 i może być zwiększony w kolejnych latach o kolejne 6%.</w:t>
            </w:r>
          </w:p>
        </w:tc>
      </w:tr>
      <w:tr w:rsidR="00EF051F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39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Doradca specjalistyczny</w:t>
            </w:r>
          </w:p>
        </w:tc>
        <w:tc>
          <w:tcPr>
            <w:tcW w:w="1701" w:type="dxa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110,00 zł godz.</w:t>
            </w:r>
          </w:p>
        </w:tc>
        <w:tc>
          <w:tcPr>
            <w:tcW w:w="4801" w:type="dxa"/>
            <w:gridSpan w:val="2"/>
          </w:tcPr>
          <w:p w:rsidR="00EF051F" w:rsidRPr="00EF051F" w:rsidRDefault="00EF051F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051F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39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Doradca zawodowy</w:t>
            </w:r>
          </w:p>
        </w:tc>
        <w:tc>
          <w:tcPr>
            <w:tcW w:w="1701" w:type="dxa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100,00 zł godz.</w:t>
            </w:r>
          </w:p>
        </w:tc>
        <w:tc>
          <w:tcPr>
            <w:tcW w:w="4801" w:type="dxa"/>
            <w:gridSpan w:val="2"/>
          </w:tcPr>
          <w:p w:rsidR="00EF051F" w:rsidRPr="00EF051F" w:rsidRDefault="00EF051F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051F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39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Psycholog</w:t>
            </w:r>
          </w:p>
        </w:tc>
        <w:tc>
          <w:tcPr>
            <w:tcW w:w="1701" w:type="dxa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100,00 zł godz.</w:t>
            </w:r>
          </w:p>
        </w:tc>
        <w:tc>
          <w:tcPr>
            <w:tcW w:w="4801" w:type="dxa"/>
            <w:gridSpan w:val="2"/>
          </w:tcPr>
          <w:p w:rsidR="00EF051F" w:rsidRPr="00EF051F" w:rsidRDefault="00EF051F" w:rsidP="00EF051F">
            <w:pPr>
              <w:pStyle w:val="Default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EF051F" w:rsidRPr="00EF051F" w:rsidTr="00CD441B">
        <w:trPr>
          <w:trHeight w:val="488"/>
          <w:jc w:val="center"/>
        </w:trPr>
        <w:tc>
          <w:tcPr>
            <w:tcW w:w="567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39" w:type="dxa"/>
            <w:vAlign w:val="center"/>
          </w:tcPr>
          <w:p w:rsidR="00EF051F" w:rsidRPr="00EF051F" w:rsidRDefault="00EF051F" w:rsidP="00EF051F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Trener</w:t>
            </w:r>
          </w:p>
        </w:tc>
        <w:tc>
          <w:tcPr>
            <w:tcW w:w="1701" w:type="dxa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150,00 zł godz.</w:t>
            </w:r>
          </w:p>
        </w:tc>
        <w:tc>
          <w:tcPr>
            <w:tcW w:w="4801" w:type="dxa"/>
            <w:gridSpan w:val="2"/>
          </w:tcPr>
          <w:p w:rsidR="00EF051F" w:rsidRPr="00EF051F" w:rsidRDefault="00EF051F" w:rsidP="00EF051F">
            <w:pPr>
              <w:pStyle w:val="Default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F051F" w:rsidRPr="00EF051F" w:rsidTr="00CD441B">
        <w:trPr>
          <w:gridAfter w:val="1"/>
          <w:wAfter w:w="29" w:type="dxa"/>
          <w:trHeight w:val="48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Mentor/</w:t>
            </w:r>
            <w:proofErr w:type="spellStart"/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Coach</w:t>
            </w:r>
            <w:proofErr w:type="spellEnd"/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/Ekspert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150,00 zł godz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772" w:type="dxa"/>
            <w:shd w:val="clear" w:color="auto" w:fill="auto"/>
          </w:tcPr>
          <w:p w:rsidR="00EF051F" w:rsidRPr="00EF051F" w:rsidRDefault="00EF051F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051F" w:rsidRPr="00EF051F" w:rsidTr="00CD441B">
        <w:trPr>
          <w:gridAfter w:val="1"/>
          <w:wAfter w:w="29" w:type="dxa"/>
          <w:trHeight w:val="48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Szkolenia/kursy zawodowe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2.100,00 zł</w:t>
            </w:r>
          </w:p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szkolenie/kurs</w:t>
            </w:r>
          </w:p>
        </w:tc>
        <w:tc>
          <w:tcPr>
            <w:tcW w:w="4772" w:type="dxa"/>
            <w:shd w:val="clear" w:color="auto" w:fill="auto"/>
          </w:tcPr>
          <w:p w:rsidR="00EF051F" w:rsidRPr="00EF051F" w:rsidRDefault="00C43C96" w:rsidP="00603E6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3C96">
              <w:rPr>
                <w:rFonts w:asciiTheme="minorHAnsi" w:hAnsiTheme="minorHAnsi" w:cstheme="minorHAnsi"/>
                <w:sz w:val="20"/>
                <w:szCs w:val="20"/>
              </w:rPr>
              <w:t>Koszt uzależniony od zaplanowanej lic</w:t>
            </w:r>
            <w:r w:rsidR="00603E6E">
              <w:rPr>
                <w:rFonts w:asciiTheme="minorHAnsi" w:hAnsiTheme="minorHAnsi" w:cstheme="minorHAnsi"/>
                <w:sz w:val="20"/>
                <w:szCs w:val="20"/>
              </w:rPr>
              <w:t xml:space="preserve">zby godzin i zakresu, przy czym </w:t>
            </w:r>
            <w:r w:rsidRPr="00C43C96">
              <w:rPr>
                <w:rFonts w:asciiTheme="minorHAnsi" w:hAnsiTheme="minorHAnsi" w:cstheme="minorHAnsi"/>
                <w:sz w:val="20"/>
                <w:szCs w:val="20"/>
              </w:rPr>
              <w:t xml:space="preserve">średni maksymalny koszt dla zlecenia szkolenia 150 godzinnego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2 100</w:t>
            </w:r>
            <w:r w:rsidRPr="00C43C96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</w:tr>
      <w:tr w:rsidR="00EF051F" w:rsidRPr="00EF051F" w:rsidTr="00CD441B">
        <w:trPr>
          <w:gridAfter w:val="1"/>
          <w:wAfter w:w="29" w:type="dxa"/>
          <w:trHeight w:val="48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F051F" w:rsidRPr="00EF051F" w:rsidRDefault="00EF051F" w:rsidP="00C43C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Catering </w:t>
            </w:r>
            <w:r w:rsidR="00C4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4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Przerwa obiadowa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35,00 zł osoba</w:t>
            </w:r>
          </w:p>
        </w:tc>
        <w:tc>
          <w:tcPr>
            <w:tcW w:w="4772" w:type="dxa"/>
            <w:shd w:val="clear" w:color="auto" w:fill="auto"/>
          </w:tcPr>
          <w:p w:rsidR="00EF051F" w:rsidRPr="00EF051F" w:rsidRDefault="00C43C96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3C96">
              <w:rPr>
                <w:rFonts w:asciiTheme="minorHAnsi" w:hAnsiTheme="minorHAnsi" w:cstheme="minorHAnsi"/>
                <w:sz w:val="20"/>
                <w:szCs w:val="20"/>
              </w:rPr>
              <w:t xml:space="preserve">Wyżywienie (obiad) – możliwość kwalifikowania wydatku powinna zostać ograniczona do projektów, w których wsparcie dla tej samej grupy osób w danym dniu </w:t>
            </w:r>
            <w:r w:rsidRPr="00C43C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trwa nie krócej niż 6 godzin. Zakres: obejmuje dwa dania (zupa i drugie danie), przy czym istnieje możliwość szerszego zakresu usługi, o ile mieści się w określonej cenie rynkowej. Cena rynkowa powinna być uzależniona od rodzaju oferowanej usługi i jest niższa, jeśli finansowany jest mniejszy zakres usługi (np. obiad składający się tylko z drugiego dania)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F051F" w:rsidRPr="00EF051F" w:rsidTr="00CD441B">
        <w:trPr>
          <w:gridAfter w:val="1"/>
          <w:wAfter w:w="29" w:type="dxa"/>
          <w:trHeight w:val="48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Catering - Przerwa kawowa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15,00 zł osoba</w:t>
            </w:r>
          </w:p>
        </w:tc>
        <w:tc>
          <w:tcPr>
            <w:tcW w:w="4772" w:type="dxa"/>
            <w:shd w:val="clear" w:color="auto" w:fill="auto"/>
          </w:tcPr>
          <w:p w:rsidR="00EF051F" w:rsidRPr="00EF051F" w:rsidRDefault="00C43C96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3C96">
              <w:rPr>
                <w:rFonts w:asciiTheme="minorHAnsi" w:hAnsiTheme="minorHAnsi" w:cstheme="minorHAnsi"/>
                <w:sz w:val="20"/>
                <w:szCs w:val="20"/>
              </w:rPr>
              <w:t>Wydatek nie powinien być kwalifikowany, jeżeli forma wsparcia w ramach której ma być świadczona przerwa kawowa dla tej samej grupy osób w danym dniu trwa krócej niż 4 godziny. Zakres: standardowa przerwa kawowa (kawa, herbata, woda, soki, ciastka, kanapki). Cena rynkowa powinna być uzależniona od rodzaju oferowanej usługi i jest niższa, jeśli finansowany jest mniejszy zakres usługi (np. kawa, herbata, woda, mleko, cukier cytryna bez drobnych lub słodkich przekąsek).</w:t>
            </w:r>
          </w:p>
        </w:tc>
      </w:tr>
      <w:tr w:rsidR="00EF051F" w:rsidRPr="00EF051F" w:rsidTr="00CD441B">
        <w:trPr>
          <w:gridAfter w:val="1"/>
          <w:wAfter w:w="29" w:type="dxa"/>
          <w:trHeight w:val="48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Wynajem sal szkoleniowych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40,00 zł godz.</w:t>
            </w:r>
          </w:p>
        </w:tc>
        <w:tc>
          <w:tcPr>
            <w:tcW w:w="4772" w:type="dxa"/>
            <w:shd w:val="clear" w:color="auto" w:fill="auto"/>
          </w:tcPr>
          <w:p w:rsidR="00EF051F" w:rsidRPr="00EF051F" w:rsidRDefault="00EF051F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051F" w:rsidRPr="00EF051F" w:rsidTr="00CD441B">
        <w:trPr>
          <w:gridAfter w:val="1"/>
          <w:wAfter w:w="29" w:type="dxa"/>
          <w:trHeight w:val="4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Materiały szkoleniowe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25,00 zł osoba</w:t>
            </w:r>
          </w:p>
        </w:tc>
        <w:tc>
          <w:tcPr>
            <w:tcW w:w="4772" w:type="dxa"/>
            <w:shd w:val="clear" w:color="auto" w:fill="auto"/>
          </w:tcPr>
          <w:p w:rsidR="00EF051F" w:rsidRPr="00EF051F" w:rsidRDefault="00EF051F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051F" w:rsidRPr="00EF051F" w:rsidTr="00CD441B">
        <w:trPr>
          <w:gridAfter w:val="1"/>
          <w:wAfter w:w="29" w:type="dxa"/>
          <w:trHeight w:val="708"/>
          <w:jc w:val="center"/>
        </w:trPr>
        <w:tc>
          <w:tcPr>
            <w:tcW w:w="567" w:type="dxa"/>
            <w:shd w:val="clear" w:color="auto" w:fill="auto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239" w:type="dxa"/>
            <w:shd w:val="clear" w:color="auto" w:fill="auto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Dotacje na stworzenie miejsca pracy w PS</w:t>
            </w:r>
          </w:p>
        </w:tc>
        <w:tc>
          <w:tcPr>
            <w:tcW w:w="6473" w:type="dxa"/>
            <w:gridSpan w:val="2"/>
            <w:shd w:val="clear" w:color="auto" w:fill="auto"/>
          </w:tcPr>
          <w:p w:rsidR="00EF051F" w:rsidRPr="00EF051F" w:rsidRDefault="00EF051F" w:rsidP="00EF05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Warunki uzyskania dotacji:</w:t>
            </w:r>
          </w:p>
          <w:p w:rsidR="00EF051F" w:rsidRPr="00EF051F" w:rsidRDefault="00EF051F" w:rsidP="00EF051F">
            <w:pPr>
              <w:pStyle w:val="Default"/>
              <w:ind w:left="333" w:hanging="3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ab/>
              <w:t>jedno PS może uzyskać maksymalnie sześćdziesięciokrotność przeciętnego wynagrodzenia w rozumieniu art. 2 ust. 1 pkt 28 ustawy z dnia 20 kwietnia 2004 r. o promocji zatrudnienia i instytucjach rynku pracy:</w:t>
            </w:r>
          </w:p>
          <w:p w:rsidR="00EF051F" w:rsidRPr="00EF051F" w:rsidRDefault="00EF051F" w:rsidP="00EF051F">
            <w:pPr>
              <w:pStyle w:val="Default"/>
              <w:ind w:left="6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i.</w:t>
            </w: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ab/>
              <w:t>przy tworzeniu PS lub przekształceniu PES w PS, w związku z utworzeniem miejsc pracy dla osób, o których mowa w pkt 2, lub</w:t>
            </w:r>
          </w:p>
          <w:p w:rsidR="00EF051F" w:rsidRPr="00EF051F" w:rsidRDefault="00EF051F" w:rsidP="00EF051F">
            <w:pPr>
              <w:pStyle w:val="Default"/>
              <w:ind w:left="6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ab/>
              <w:t>na stworzenie miejsc  pracy  dla  osób, o których mowa w pkt 2, w istniejących PS w okresie trwałości, o którym mowa w pkt  13 lit. a, zaś po upływie tego okresu PS może ponownie uzyskać dotacje  na utworzenie miejsc pracy w wysokości, o  której mowa powyżej;</w:t>
            </w:r>
          </w:p>
          <w:p w:rsidR="00EF051F" w:rsidRPr="00EF051F" w:rsidRDefault="00EF051F" w:rsidP="00EF051F">
            <w:pPr>
              <w:pStyle w:val="Default"/>
              <w:ind w:left="33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  <w:r w:rsidRPr="00EF051F">
              <w:rPr>
                <w:rFonts w:asciiTheme="minorHAnsi" w:hAnsiTheme="minorHAnsi" w:cstheme="minorHAnsi"/>
                <w:sz w:val="20"/>
                <w:szCs w:val="20"/>
              </w:rPr>
              <w:tab/>
              <w:t>maksymalna kwota dotacji na stworzenie jednego miejsca pracy stanowi sześciokrotność przeciętnego wynagrodzenia w rozumieniu art. 2  ust. 1 pkt 28  ustawy z dnia 20 kwietnia 2004 r. o promocji zatrudnienia i  instytucjach rynku pracy.</w:t>
            </w:r>
          </w:p>
        </w:tc>
      </w:tr>
      <w:tr w:rsidR="00EF051F" w:rsidRPr="00EF051F" w:rsidTr="00CD441B">
        <w:trPr>
          <w:gridAfter w:val="1"/>
          <w:wAfter w:w="29" w:type="dxa"/>
          <w:trHeight w:val="1191"/>
          <w:jc w:val="center"/>
        </w:trPr>
        <w:tc>
          <w:tcPr>
            <w:tcW w:w="567" w:type="dxa"/>
            <w:shd w:val="clear" w:color="auto" w:fill="auto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39" w:type="dxa"/>
            <w:shd w:val="clear" w:color="auto" w:fill="auto"/>
          </w:tcPr>
          <w:p w:rsidR="00EF051F" w:rsidRPr="00EF051F" w:rsidRDefault="00EF051F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pomostowe w formie finansowej</w:t>
            </w:r>
          </w:p>
        </w:tc>
        <w:tc>
          <w:tcPr>
            <w:tcW w:w="6473" w:type="dxa"/>
            <w:gridSpan w:val="2"/>
            <w:shd w:val="clear" w:color="auto" w:fill="auto"/>
          </w:tcPr>
          <w:p w:rsidR="00EF051F" w:rsidRPr="00EF051F" w:rsidRDefault="00EF051F" w:rsidP="00EF051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F051F">
              <w:rPr>
                <w:rFonts w:cstheme="minorHAnsi"/>
                <w:sz w:val="20"/>
                <w:szCs w:val="20"/>
              </w:rPr>
              <w:t>Wsparcie pomostowe w formie finansowej:</w:t>
            </w:r>
          </w:p>
          <w:p w:rsidR="00EF051F" w:rsidRPr="00EF051F" w:rsidRDefault="00EF051F" w:rsidP="00EF051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ind w:left="333" w:hanging="299"/>
              <w:jc w:val="both"/>
              <w:rPr>
                <w:rFonts w:cstheme="minorHAnsi"/>
                <w:sz w:val="20"/>
                <w:szCs w:val="20"/>
              </w:rPr>
            </w:pPr>
            <w:r w:rsidRPr="00EF051F">
              <w:rPr>
                <w:rFonts w:cstheme="minorHAnsi"/>
                <w:sz w:val="20"/>
                <w:szCs w:val="20"/>
              </w:rPr>
              <w:t xml:space="preserve">jest świadczone przez okres  nie dłuższy niż 6 miesięcy od dnia utworzenia miejsca pracy, może być przedłużone nie dłużej jednak niż do 12 miesięcy, z zachowaniem zasad trwałości, o których mowa w pkt  13, </w:t>
            </w:r>
          </w:p>
          <w:p w:rsidR="00EF051F" w:rsidRPr="00EF051F" w:rsidRDefault="00EF051F" w:rsidP="00EF051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ind w:left="333" w:hanging="299"/>
              <w:jc w:val="both"/>
              <w:rPr>
                <w:rFonts w:cstheme="minorHAnsi"/>
                <w:sz w:val="20"/>
                <w:szCs w:val="20"/>
              </w:rPr>
            </w:pPr>
            <w:r w:rsidRPr="00EF051F">
              <w:rPr>
                <w:rFonts w:cstheme="minorHAnsi"/>
                <w:sz w:val="20"/>
                <w:szCs w:val="20"/>
              </w:rPr>
              <w:t>jest przyznawane miesięcznie w wysokości niezbędnej do sfinansowania podstawowych kosztów funkcjonowania PS, jednak nie większej niż zwielokrotniona o liczbę utworzonych miejsc pracy kwota minimalnego wynagrodzenia za pracę w rozumieniu przepisów  o minimalnym wynagrodzeniu za pracę,</w:t>
            </w:r>
          </w:p>
          <w:p w:rsidR="00EF051F" w:rsidRPr="00EF051F" w:rsidRDefault="00EF051F" w:rsidP="00EF051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ind w:left="333" w:hanging="299"/>
              <w:jc w:val="both"/>
              <w:rPr>
                <w:rFonts w:cstheme="minorHAnsi"/>
                <w:sz w:val="20"/>
                <w:szCs w:val="20"/>
              </w:rPr>
            </w:pPr>
            <w:r w:rsidRPr="00EF051F">
              <w:rPr>
                <w:rFonts w:cstheme="minorHAnsi"/>
                <w:sz w:val="20"/>
                <w:szCs w:val="20"/>
              </w:rPr>
              <w:t>wsparcie pomostowe w formie zindywidualizowanych usług jest ukierunkowane w szczególności na wzmocnienie kompetencji biznesowych przedsiębiorstwa.</w:t>
            </w:r>
          </w:p>
        </w:tc>
      </w:tr>
      <w:tr w:rsidR="00CA3B08" w:rsidRPr="00EF051F" w:rsidTr="00CD441B">
        <w:trPr>
          <w:gridAfter w:val="1"/>
          <w:wAfter w:w="29" w:type="dxa"/>
          <w:trHeight w:val="1191"/>
          <w:jc w:val="center"/>
        </w:trPr>
        <w:tc>
          <w:tcPr>
            <w:tcW w:w="567" w:type="dxa"/>
            <w:shd w:val="clear" w:color="auto" w:fill="auto"/>
          </w:tcPr>
          <w:p w:rsidR="00CA3B08" w:rsidRPr="00EF051F" w:rsidRDefault="00CA3B08" w:rsidP="00EF05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2239" w:type="dxa"/>
            <w:shd w:val="clear" w:color="auto" w:fill="auto"/>
          </w:tcPr>
          <w:p w:rsidR="00CA3B08" w:rsidRPr="00CA3B08" w:rsidRDefault="00CA3B08" w:rsidP="00603E6E">
            <w:pPr>
              <w:pStyle w:val="Default"/>
              <w:jc w:val="center"/>
              <w:rPr>
                <w:b/>
              </w:rPr>
            </w:pPr>
            <w:r w:rsidRPr="00603E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Mikrogranty</w:t>
            </w:r>
          </w:p>
        </w:tc>
        <w:tc>
          <w:tcPr>
            <w:tcW w:w="6473" w:type="dxa"/>
            <w:gridSpan w:val="2"/>
            <w:shd w:val="clear" w:color="auto" w:fill="auto"/>
          </w:tcPr>
          <w:p w:rsidR="00CA3B08" w:rsidRPr="00CE4A91" w:rsidRDefault="00CA3B08" w:rsidP="00CA3B08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left="284" w:hanging="284"/>
              <w:jc w:val="both"/>
              <w:rPr>
                <w:b/>
                <w:sz w:val="20"/>
                <w:szCs w:val="20"/>
                <w:u w:val="single"/>
              </w:rPr>
            </w:pPr>
            <w:r w:rsidRPr="00CE4A91">
              <w:rPr>
                <w:b/>
                <w:sz w:val="20"/>
                <w:szCs w:val="20"/>
                <w:u w:val="single"/>
              </w:rPr>
              <w:t>Cel i zakres mikrograntów:</w:t>
            </w:r>
          </w:p>
          <w:p w:rsidR="00CA3B08" w:rsidRPr="00603E6E" w:rsidRDefault="00603E6E" w:rsidP="00CA3B08">
            <w:pPr>
              <w:spacing w:after="0" w:line="240" w:lineRule="auto"/>
              <w:ind w:left="284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03E6E">
              <w:rPr>
                <w:rFonts w:eastAsia="Times New Roman" w:cs="Arial"/>
                <w:sz w:val="20"/>
                <w:szCs w:val="20"/>
                <w:lang w:eastAsia="pl-PL"/>
              </w:rPr>
              <w:t>Celem realizacji mikro</w:t>
            </w:r>
            <w:r w:rsidR="00CA3B08" w:rsidRPr="00603E6E">
              <w:rPr>
                <w:rFonts w:eastAsia="Times New Roman" w:cs="Arial"/>
                <w:sz w:val="20"/>
                <w:szCs w:val="20"/>
                <w:lang w:eastAsia="pl-PL"/>
              </w:rPr>
              <w:t>grantów jest wspólna realizacja przedsięwzięć prowadzących do rozwoju ekonomii społecznej w regionie, w następujących obszarach: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03E6E">
              <w:rPr>
                <w:rFonts w:eastAsia="Times New Roman" w:cs="Arial"/>
                <w:sz w:val="20"/>
                <w:szCs w:val="20"/>
                <w:lang w:eastAsia="pl-PL"/>
              </w:rPr>
              <w:t xml:space="preserve">działania przygotowujące do prowadzenia Podmiotu Ekonomii Społecznej lub Przedsiębiorstwa Społecznego (w tym m.in.: działania służące sprawdzeniu w </w:t>
            </w:r>
            <w:r w:rsidRPr="00603E6E">
              <w:rPr>
                <w:sz w:val="20"/>
                <w:szCs w:val="20"/>
              </w:rPr>
              <w:t xml:space="preserve">praktyce potencjału grupy inicjatywnej- komunikacji, współpracy; </w:t>
            </w:r>
            <w:r w:rsidRPr="00603E6E">
              <w:rPr>
                <w:rFonts w:eastAsia="Times New Roman" w:cs="Arial"/>
                <w:sz w:val="20"/>
                <w:szCs w:val="20"/>
                <w:lang w:eastAsia="pl-PL"/>
              </w:rPr>
              <w:t>działania służące testowaniu produktu/usługi);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03E6E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działania przygotowujące organizacje pozarządowe do ekonomizacji (np. prowadzenia odpłatnej działalności statutowej lub działalności gospodarczej, w tym szkolenia dla kadry, działania służące testowaniu produktu/usługi). </w:t>
            </w:r>
          </w:p>
          <w:p w:rsidR="00CA3B08" w:rsidRPr="00603E6E" w:rsidRDefault="00CA3B08" w:rsidP="00CA3B08">
            <w:pPr>
              <w:pStyle w:val="Akapitzlist"/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CA3B08" w:rsidRPr="00603E6E" w:rsidRDefault="00CA3B08" w:rsidP="00CA3B08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284" w:hanging="284"/>
              <w:jc w:val="both"/>
              <w:rPr>
                <w:b/>
                <w:sz w:val="20"/>
                <w:szCs w:val="20"/>
                <w:u w:val="single"/>
              </w:rPr>
            </w:pPr>
            <w:r w:rsidRPr="00603E6E">
              <w:rPr>
                <w:b/>
                <w:sz w:val="20"/>
                <w:szCs w:val="20"/>
                <w:u w:val="single"/>
              </w:rPr>
              <w:t>Podmioty mogące aplikować o przyznanie mikrograntów: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>Grupy inicjatywne planujące rozpocząć działalność w sektorze ekonomii społecznej,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>Podmioty ekonomii społecznej, w tym organizacje pozarządowe chcące rozpocząć proces ekonomizacji.</w:t>
            </w:r>
          </w:p>
          <w:p w:rsidR="00CA3B08" w:rsidRPr="00603E6E" w:rsidRDefault="00CA3B08" w:rsidP="00CA3B08">
            <w:pPr>
              <w:pStyle w:val="Akapitzlist"/>
              <w:jc w:val="both"/>
              <w:rPr>
                <w:sz w:val="20"/>
                <w:szCs w:val="20"/>
              </w:rPr>
            </w:pPr>
          </w:p>
          <w:p w:rsidR="00CA3B08" w:rsidRPr="00603E6E" w:rsidRDefault="00CA3B08" w:rsidP="00CA3B08">
            <w:pPr>
              <w:pStyle w:val="Akapitzlist"/>
              <w:numPr>
                <w:ilvl w:val="0"/>
                <w:numId w:val="12"/>
              </w:numPr>
              <w:spacing w:before="240" w:after="160" w:line="259" w:lineRule="auto"/>
              <w:ind w:left="284" w:hanging="284"/>
              <w:jc w:val="both"/>
              <w:rPr>
                <w:b/>
                <w:sz w:val="20"/>
                <w:szCs w:val="20"/>
                <w:u w:val="single"/>
              </w:rPr>
            </w:pPr>
            <w:r w:rsidRPr="00603E6E">
              <w:rPr>
                <w:b/>
                <w:sz w:val="20"/>
                <w:szCs w:val="20"/>
                <w:u w:val="single"/>
              </w:rPr>
              <w:t>Wartość dofinansowanie mikrograntu: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>Maksymalna kwota dofinansowania mikrograntu wynosi 5 tys. zł,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>Jeden podmiot może otrzymać dofinansowanie na maksymalnie 2 mikrogranty w okresie realizacji projektu OWES,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 xml:space="preserve">Maksymalna kwota przeznaczona na realizację mikrograntów w ramach projektu OWES nie może przekroczyć 5% wartości projektu. </w:t>
            </w:r>
          </w:p>
          <w:p w:rsidR="00CA3B08" w:rsidRPr="00603E6E" w:rsidRDefault="00CA3B08" w:rsidP="00CA3B08">
            <w:pPr>
              <w:pStyle w:val="Akapitzlist"/>
              <w:spacing w:after="160" w:line="259" w:lineRule="auto"/>
              <w:jc w:val="both"/>
              <w:rPr>
                <w:sz w:val="20"/>
                <w:szCs w:val="20"/>
              </w:rPr>
            </w:pPr>
          </w:p>
          <w:p w:rsidR="00CA3B08" w:rsidRPr="00603E6E" w:rsidRDefault="00CA3B08" w:rsidP="00CA3B08">
            <w:pPr>
              <w:pStyle w:val="Akapitzlist"/>
              <w:numPr>
                <w:ilvl w:val="0"/>
                <w:numId w:val="12"/>
              </w:numPr>
              <w:spacing w:before="240" w:after="160" w:line="259" w:lineRule="auto"/>
              <w:ind w:left="284" w:hanging="284"/>
              <w:jc w:val="both"/>
              <w:rPr>
                <w:sz w:val="20"/>
                <w:szCs w:val="20"/>
              </w:rPr>
            </w:pPr>
            <w:r w:rsidRPr="00603E6E">
              <w:rPr>
                <w:b/>
                <w:sz w:val="20"/>
                <w:szCs w:val="20"/>
                <w:u w:val="single"/>
              </w:rPr>
              <w:t>Maksymalny okres realizacji mikrograntu</w:t>
            </w:r>
            <w:r w:rsidRPr="00603E6E">
              <w:rPr>
                <w:sz w:val="20"/>
                <w:szCs w:val="20"/>
              </w:rPr>
              <w:t xml:space="preserve"> 6 miesięcy</w:t>
            </w:r>
          </w:p>
          <w:p w:rsidR="00CA3B08" w:rsidRPr="00603E6E" w:rsidRDefault="00CA3B08" w:rsidP="00CA3B08">
            <w:pPr>
              <w:pStyle w:val="Akapitzlist"/>
              <w:jc w:val="both"/>
              <w:rPr>
                <w:sz w:val="20"/>
                <w:szCs w:val="20"/>
              </w:rPr>
            </w:pPr>
          </w:p>
          <w:p w:rsidR="00CA3B08" w:rsidRPr="00603E6E" w:rsidRDefault="00CA3B08" w:rsidP="00CA3B08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284" w:hanging="284"/>
              <w:jc w:val="both"/>
              <w:rPr>
                <w:b/>
                <w:sz w:val="20"/>
                <w:szCs w:val="20"/>
                <w:u w:val="single"/>
              </w:rPr>
            </w:pPr>
            <w:r w:rsidRPr="00603E6E">
              <w:rPr>
                <w:b/>
                <w:sz w:val="20"/>
                <w:szCs w:val="20"/>
                <w:u w:val="single"/>
              </w:rPr>
              <w:t>Minimalny zakres dokumentów niezbędny do przyznania mikrograntów: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>Regulamin przyznawania mikrograntów wraz z kryteriami, opracowanych we współpracy z ROPS,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>Wzór uproszczonego wniosku na dofinansowanie mikrograntów,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>Wzór karty oceny wniosku na dofinansowanie mikrograntów,</w:t>
            </w:r>
          </w:p>
          <w:p w:rsidR="00CA3B08" w:rsidRPr="00603E6E" w:rsidRDefault="00CA3B08" w:rsidP="00CA3B08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 xml:space="preserve">Wzór umowy przyznania mikrograntów, </w:t>
            </w:r>
          </w:p>
          <w:p w:rsidR="00CA3B08" w:rsidRPr="00EF051F" w:rsidRDefault="00CA3B08" w:rsidP="00603E6E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03E6E">
              <w:rPr>
                <w:sz w:val="20"/>
                <w:szCs w:val="20"/>
              </w:rPr>
              <w:t xml:space="preserve">Wzór sprawozdania rozliczającego </w:t>
            </w:r>
            <w:proofErr w:type="spellStart"/>
            <w:r w:rsidRPr="00603E6E">
              <w:rPr>
                <w:sz w:val="20"/>
                <w:szCs w:val="20"/>
              </w:rPr>
              <w:t>mikrogrant</w:t>
            </w:r>
            <w:proofErr w:type="spellEnd"/>
            <w:r w:rsidRPr="00603E6E">
              <w:rPr>
                <w:sz w:val="20"/>
                <w:szCs w:val="20"/>
              </w:rPr>
              <w:t>.</w:t>
            </w:r>
          </w:p>
        </w:tc>
      </w:tr>
    </w:tbl>
    <w:p w:rsidR="00B35EE7" w:rsidRDefault="00B35EE7" w:rsidP="00B35EE7">
      <w:pPr>
        <w:jc w:val="both"/>
      </w:pPr>
    </w:p>
    <w:p w:rsidR="003F48CD" w:rsidRPr="003F48CD" w:rsidRDefault="003F48CD" w:rsidP="00B91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</w:rPr>
      </w:pPr>
      <w:r w:rsidRPr="003F48CD">
        <w:rPr>
          <w:b/>
        </w:rPr>
        <w:t>Zalecenia odnośnie</w:t>
      </w:r>
      <w:r w:rsidR="00024D90">
        <w:rPr>
          <w:b/>
        </w:rPr>
        <w:t xml:space="preserve"> do</w:t>
      </w:r>
      <w:r w:rsidRPr="003F48CD">
        <w:rPr>
          <w:b/>
        </w:rPr>
        <w:t xml:space="preserve"> zasad konstruowania budżetu szczegółowego projektu.</w:t>
      </w:r>
    </w:p>
    <w:p w:rsidR="005A7498" w:rsidRDefault="003F48CD" w:rsidP="00B35EE7">
      <w:pPr>
        <w:jc w:val="both"/>
        <w:rPr>
          <w:b/>
        </w:rPr>
      </w:pPr>
      <w:r w:rsidRPr="005A7498">
        <w:rPr>
          <w:b/>
        </w:rPr>
        <w:t xml:space="preserve">IZ RPO WK-P zaleca, aby wydatki </w:t>
      </w:r>
      <w:r w:rsidR="005A7498" w:rsidRPr="005A7498">
        <w:rPr>
          <w:b/>
        </w:rPr>
        <w:t>w budżecie szczegółowym ujmować w tożsamych kategoriach zbiorczych</w:t>
      </w:r>
      <w:r w:rsidR="005A7498">
        <w:rPr>
          <w:b/>
        </w:rPr>
        <w:t xml:space="preserve">, tzn. jako osobnych pozycji budżetowych nie ujmować wydatków, które można uwzględnić w budżecie </w:t>
      </w:r>
      <w:r w:rsidR="005A7498" w:rsidRPr="005A7498">
        <w:rPr>
          <w:b/>
        </w:rPr>
        <w:t>w ramach wydatku o charakterze zbiorczym.</w:t>
      </w:r>
      <w:r w:rsidR="005A7498">
        <w:t xml:space="preserve"> </w:t>
      </w:r>
      <w:r w:rsidR="005A7498" w:rsidRPr="00EC49C8">
        <w:rPr>
          <w:b/>
        </w:rPr>
        <w:t xml:space="preserve">Dotyczy to w szczególności kosztów związanych </w:t>
      </w:r>
      <w:r w:rsidR="00051191">
        <w:rPr>
          <w:b/>
        </w:rPr>
        <w:t xml:space="preserve">np. </w:t>
      </w:r>
      <w:r w:rsidR="005A7498" w:rsidRPr="00EC49C8">
        <w:rPr>
          <w:b/>
        </w:rPr>
        <w:t>z zakupem materiałów na potrzeby realizacji zajęć</w:t>
      </w:r>
      <w:r w:rsidR="00E02C7C" w:rsidRPr="00EC49C8">
        <w:rPr>
          <w:b/>
        </w:rPr>
        <w:t xml:space="preserve"> </w:t>
      </w:r>
      <w:r w:rsidR="00603E6E">
        <w:rPr>
          <w:b/>
        </w:rPr>
        <w:t>itp.</w:t>
      </w:r>
    </w:p>
    <w:p w:rsidR="00FC56B8" w:rsidRPr="00B50B9A" w:rsidRDefault="00FC56B8" w:rsidP="00B35EE7">
      <w:pPr>
        <w:jc w:val="both"/>
        <w:rPr>
          <w:u w:val="single"/>
        </w:rPr>
      </w:pPr>
      <w:r w:rsidRPr="00E02C7C">
        <w:rPr>
          <w:b/>
        </w:rPr>
        <w:t>W uzasadnieniu kosztów specyficznych należy podać</w:t>
      </w:r>
      <w:r>
        <w:rPr>
          <w:b/>
        </w:rPr>
        <w:t>,</w:t>
      </w:r>
      <w:r w:rsidRPr="00E02C7C">
        <w:rPr>
          <w:b/>
        </w:rPr>
        <w:t xml:space="preserve"> co wchodzi w skład zestawu. </w:t>
      </w:r>
      <w:r>
        <w:t>C</w:t>
      </w:r>
      <w:r w:rsidRPr="00032891">
        <w:t>o</w:t>
      </w:r>
      <w:r>
        <w:t xml:space="preserve"> do zasady w przypadku zestawów</w:t>
      </w:r>
      <w:r w:rsidRPr="00032891">
        <w:t xml:space="preserve"> </w:t>
      </w:r>
      <w:r>
        <w:t>o niewielkiej wartości</w:t>
      </w:r>
      <w:r w:rsidRPr="00032891">
        <w:t xml:space="preserve"> </w:t>
      </w:r>
      <w:r>
        <w:t>wystarczające jest wskazanie elementów wchodzących w skład zestawu. W przypadku zestawów o większej wartości i zestawów, w których ocena racjonalności jedynie na podstawie określenia elementów składowych może być utrudniona, w uzasadnieniu należy wskazać również ceny jednostkowe, np. w gdy w skład zestawu wchodzą elementy, których ceny jednostkowe nie są publicznie dostępne lub gdy istnieją wątpliwości co do sposobu kalkulacji wydatku.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12C3" w:rsidRPr="00B912C3" w:rsidTr="00B912C3">
        <w:tc>
          <w:tcPr>
            <w:tcW w:w="9062" w:type="dxa"/>
            <w:shd w:val="clear" w:color="auto" w:fill="D9D9D9" w:themeFill="background1" w:themeFillShade="D9"/>
          </w:tcPr>
          <w:p w:rsidR="00B912C3" w:rsidRPr="00B912C3" w:rsidRDefault="00B912C3" w:rsidP="00CB1442">
            <w:pPr>
              <w:jc w:val="both"/>
              <w:rPr>
                <w:b/>
              </w:rPr>
            </w:pPr>
            <w:r w:rsidRPr="00B912C3">
              <w:rPr>
                <w:b/>
              </w:rPr>
              <w:t>Zalecenia dotyczące zakresu niezbędnych informacji uzasadniających dany koszt</w:t>
            </w:r>
          </w:p>
        </w:tc>
      </w:tr>
    </w:tbl>
    <w:p w:rsidR="00B912C3" w:rsidRPr="00B912C3" w:rsidRDefault="00B912C3" w:rsidP="00B35EE7">
      <w:pPr>
        <w:jc w:val="both"/>
        <w:rPr>
          <w:b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6095"/>
      </w:tblGrid>
      <w:tr w:rsidR="00AA1BB1" w:rsidRPr="00EE3BC9" w:rsidTr="00051191">
        <w:trPr>
          <w:trHeight w:val="414"/>
        </w:trPr>
        <w:tc>
          <w:tcPr>
            <w:tcW w:w="3006" w:type="dxa"/>
            <w:shd w:val="clear" w:color="auto" w:fill="D9D9D9" w:themeFill="background1" w:themeFillShade="D9"/>
          </w:tcPr>
          <w:p w:rsidR="00AA1BB1" w:rsidRPr="00EE3BC9" w:rsidRDefault="00AA1BB1" w:rsidP="00A57216">
            <w:pPr>
              <w:pStyle w:val="Default"/>
              <w:ind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Koszt organizacji </w:t>
            </w:r>
            <w:r w:rsidR="0005119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szkoleń </w:t>
            </w:r>
          </w:p>
        </w:tc>
        <w:tc>
          <w:tcPr>
            <w:tcW w:w="6095" w:type="dxa"/>
          </w:tcPr>
          <w:p w:rsidR="00C43C96" w:rsidRPr="00C43C96" w:rsidRDefault="00C43C96" w:rsidP="00C43C9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C96">
              <w:rPr>
                <w:rFonts w:asciiTheme="minorHAnsi" w:hAnsiTheme="minorHAnsi"/>
                <w:sz w:val="22"/>
                <w:szCs w:val="22"/>
              </w:rPr>
              <w:t>W przypadku tego rodzaju kosztu w uzasadnieniu pod budżetem należy wskazać informacje nt.:</w:t>
            </w:r>
          </w:p>
          <w:p w:rsidR="00C43C96" w:rsidRPr="00C43C96" w:rsidRDefault="00C43C96" w:rsidP="00C43C9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C96">
              <w:rPr>
                <w:rFonts w:asciiTheme="minorHAnsi" w:hAnsiTheme="minorHAnsi"/>
                <w:sz w:val="22"/>
                <w:szCs w:val="22"/>
              </w:rPr>
              <w:t>-liczby osób skierowanych na szkolenia;</w:t>
            </w:r>
          </w:p>
          <w:p w:rsidR="00C43C96" w:rsidRPr="00C43C96" w:rsidRDefault="00C43C96" w:rsidP="00C43C9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C96">
              <w:rPr>
                <w:rFonts w:asciiTheme="minorHAnsi" w:hAnsiTheme="minorHAnsi"/>
                <w:sz w:val="22"/>
                <w:szCs w:val="22"/>
              </w:rPr>
              <w:t>-przewidywanej liczby godzin szkolenia;</w:t>
            </w:r>
          </w:p>
          <w:p w:rsidR="00C43C96" w:rsidRPr="00C43C96" w:rsidRDefault="00C43C96" w:rsidP="00C43C9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C96">
              <w:rPr>
                <w:rFonts w:asciiTheme="minorHAnsi" w:hAnsiTheme="minorHAnsi"/>
                <w:sz w:val="22"/>
                <w:szCs w:val="22"/>
              </w:rPr>
              <w:t>-miesięcznego kosztu stypendium szkoleniowego na uczestnika;</w:t>
            </w:r>
          </w:p>
          <w:p w:rsidR="00C43C96" w:rsidRPr="00C43C96" w:rsidRDefault="00C43C96" w:rsidP="00C43C9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C96">
              <w:rPr>
                <w:rFonts w:asciiTheme="minorHAnsi" w:hAnsiTheme="minorHAnsi"/>
                <w:sz w:val="22"/>
                <w:szCs w:val="22"/>
              </w:rPr>
              <w:lastRenderedPageBreak/>
              <w:t>- kosztu dojazdu uczestnika na szkolenie;</w:t>
            </w:r>
          </w:p>
          <w:p w:rsidR="00C43C96" w:rsidRPr="00C43C96" w:rsidRDefault="00C43C96" w:rsidP="00C43C9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C96">
              <w:rPr>
                <w:rFonts w:asciiTheme="minorHAnsi" w:hAnsiTheme="minorHAnsi"/>
                <w:sz w:val="22"/>
                <w:szCs w:val="22"/>
              </w:rPr>
              <w:t>-rodzaju materiałów szkoleniowych;</w:t>
            </w:r>
          </w:p>
          <w:p w:rsidR="008E519C" w:rsidRPr="00EE3BC9" w:rsidRDefault="00C43C96" w:rsidP="00C43C9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C96">
              <w:rPr>
                <w:rFonts w:asciiTheme="minorHAnsi" w:hAnsiTheme="minorHAnsi"/>
                <w:sz w:val="22"/>
                <w:szCs w:val="22"/>
              </w:rPr>
              <w:t>-podstawy oszacowania kosztu (np. doświadczenie w realizacji tego typu wsparcia, rozeznanie rynku).</w:t>
            </w:r>
          </w:p>
        </w:tc>
      </w:tr>
    </w:tbl>
    <w:p w:rsidR="00AA1BB1" w:rsidRDefault="00AA1BB1" w:rsidP="00B35EE7">
      <w:pPr>
        <w:jc w:val="both"/>
      </w:pPr>
    </w:p>
    <w:p w:rsidR="00BE63A2" w:rsidRDefault="00BE63A2" w:rsidP="00EC7AB4">
      <w:pPr>
        <w:spacing w:after="0"/>
        <w:jc w:val="both"/>
        <w:rPr>
          <w:rFonts w:eastAsia="Times New Roman" w:cs="Times New Roman"/>
          <w:lang w:eastAsia="pl-PL"/>
        </w:rPr>
      </w:pPr>
    </w:p>
    <w:p w:rsidR="00BE63A2" w:rsidRDefault="00FC56B8" w:rsidP="00BE63A2">
      <w:pPr>
        <w:spacing w:after="0"/>
        <w:jc w:val="both"/>
        <w:rPr>
          <w:rFonts w:eastAsia="Times New Roman" w:cs="Times New Roman"/>
          <w:lang w:eastAsia="pl-PL"/>
        </w:rPr>
      </w:pPr>
      <w:r>
        <w:rPr>
          <w:lang w:eastAsia="x-none"/>
        </w:rPr>
        <w:t>Zgodnie z Wytycznymi cross-financing w ramach projektów może dotyczyć wyłącznie takich kategorii wydatków, bez których realizacja projektu nie byłaby możliwa, w szczególności w związku z zapewnieniem realizacji zasady równości szans a zwłaszcza potrzeb osób z niepełnosprawnościami. W związku z powyższym za</w:t>
      </w:r>
      <w:r w:rsidR="00BE63A2">
        <w:t xml:space="preserve"> kwalifikowalne w ramach cross-financingu uznane zostaną wyłącznie wydatki niezbędne do dostosowania budynku/pomieszczeń do pełnienia określonej funkcji</w:t>
      </w:r>
      <w:r w:rsidR="00BE63A2" w:rsidDel="00032891">
        <w:t xml:space="preserve"> </w:t>
      </w:r>
      <w:r w:rsidR="00BE63A2">
        <w:t xml:space="preserve">(adaptacja łazienek) oraz dostosowania do potrzeb osób z niepełnosprawnościami. </w:t>
      </w:r>
      <w:r w:rsidR="00BE63A2" w:rsidRPr="00C27F2D">
        <w:t xml:space="preserve">Wydatki związane z zakupem materiałów remontowo-budowlanych (np. farb malarskich), służące do adaptacji lub modernizacji pomieszczeń, bez względu na wartość jednostkową będą stanowiły cross-financing. </w:t>
      </w:r>
      <w:r w:rsidR="00BE63A2" w:rsidRPr="00C7792B">
        <w:t>Koszt zakupu środków trwałych przeznaczonych na dostosowanie budynków i pomieszczeń również należy rozliczać w ramach cross-financingu.</w:t>
      </w:r>
      <w:r w:rsidR="00BE63A2" w:rsidRPr="00C27F2D">
        <w:t xml:space="preserve"> Należy zatem przyjąć, iż część z </w:t>
      </w:r>
      <w:r w:rsidR="00BE63A2">
        <w:t>ww.</w:t>
      </w:r>
      <w:r w:rsidR="00BE63A2" w:rsidRPr="00C27F2D">
        <w:t xml:space="preserve"> wydatków, np. zakup urządzeń sanitarn</w:t>
      </w:r>
      <w:r w:rsidR="00BE63A2">
        <w:t xml:space="preserve">ych, grzewczych, </w:t>
      </w:r>
      <w:r w:rsidR="00BE63A2" w:rsidRPr="00C27F2D">
        <w:t>materiałów budowlanych będzie stanowić koszt poniesiony w ramach</w:t>
      </w:r>
      <w:r w:rsidR="00BE63A2">
        <w:t xml:space="preserve"> </w:t>
      </w:r>
      <w:r w:rsidR="00BE63A2" w:rsidRPr="00C27F2D">
        <w:t>cross-fi</w:t>
      </w:r>
      <w:r w:rsidR="00BE63A2">
        <w:t>nancingu, natomiast zakup mebli i</w:t>
      </w:r>
      <w:r w:rsidR="00BE63A2" w:rsidRPr="00C27F2D">
        <w:t xml:space="preserve"> </w:t>
      </w:r>
      <w:r w:rsidR="00BE63A2">
        <w:t>urządzeń o koszcie jednostkowym równym lub wyższym niż 3 500 zł netto</w:t>
      </w:r>
      <w:r w:rsidR="00BE63A2" w:rsidRPr="00C27F2D">
        <w:t xml:space="preserve"> </w:t>
      </w:r>
      <w:r w:rsidR="00BE63A2">
        <w:t xml:space="preserve">rozliczany będzie </w:t>
      </w:r>
      <w:r w:rsidR="00BE63A2" w:rsidRPr="00C27F2D">
        <w:t>w ramach środków trwałych, poza cross-financi</w:t>
      </w:r>
      <w:r w:rsidR="00603E6E">
        <w:t>n</w:t>
      </w:r>
      <w:r w:rsidR="00BE63A2" w:rsidRPr="00C27F2D">
        <w:t>giem.</w:t>
      </w:r>
      <w:r w:rsidR="00BE63A2" w:rsidRPr="00C27F2D">
        <w:rPr>
          <w:rFonts w:eastAsia="Times New Roman" w:cs="Times New Roman"/>
          <w:lang w:eastAsia="pl-PL"/>
        </w:rPr>
        <w:t xml:space="preserve"> </w:t>
      </w:r>
    </w:p>
    <w:p w:rsidR="00BE63A2" w:rsidRDefault="00BE63A2" w:rsidP="00EC7AB4">
      <w:pPr>
        <w:spacing w:after="0"/>
        <w:jc w:val="both"/>
        <w:rPr>
          <w:rFonts w:eastAsia="Times New Roman" w:cs="Times New Roman"/>
          <w:lang w:eastAsia="pl-PL"/>
        </w:rPr>
      </w:pPr>
    </w:p>
    <w:p w:rsidR="00C7792B" w:rsidRDefault="00763295">
      <w:pPr>
        <w:spacing w:after="0"/>
        <w:jc w:val="both"/>
        <w:rPr>
          <w:lang w:eastAsia="x-none"/>
        </w:rPr>
      </w:pPr>
      <w:r>
        <w:rPr>
          <w:lang w:eastAsia="x-none"/>
        </w:rPr>
        <w:t>IZ RPO WK-P informuje, iż w ramach kosztów związanych z adaptacją/dostosowywaniem budynków/pomieszczeń za niekwalifikowalne będą uznawane koszty wykraczające poza zakres niezbędny do przystosowania pomieszczeń/budynków do pełnienia określonych funkcji</w:t>
      </w:r>
      <w:r w:rsidR="00FA0B99">
        <w:rPr>
          <w:lang w:eastAsia="x-none"/>
        </w:rPr>
        <w:t xml:space="preserve"> oraz dostosowania do potrzeb osób z niepełnosprawnościami</w:t>
      </w:r>
      <w:r w:rsidR="00EC49C8">
        <w:rPr>
          <w:lang w:eastAsia="x-none"/>
        </w:rPr>
        <w:t xml:space="preserve">. </w:t>
      </w:r>
      <w:r>
        <w:rPr>
          <w:lang w:eastAsia="x-none"/>
        </w:rPr>
        <w:t xml:space="preserve"> </w:t>
      </w:r>
    </w:p>
    <w:p w:rsidR="00FA0B99" w:rsidRDefault="00FA0B99" w:rsidP="00FA0B99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B99" w:rsidTr="00AA153D">
        <w:tc>
          <w:tcPr>
            <w:tcW w:w="9212" w:type="dxa"/>
            <w:shd w:val="clear" w:color="auto" w:fill="BFBFBF" w:themeFill="background1" w:themeFillShade="BF"/>
          </w:tcPr>
          <w:p w:rsidR="00FA0B99" w:rsidRPr="0010079E" w:rsidRDefault="00FA0B99" w:rsidP="00AA153D">
            <w:pPr>
              <w:jc w:val="both"/>
              <w:rPr>
                <w:b/>
              </w:rPr>
            </w:pPr>
            <w:r w:rsidRPr="0010079E">
              <w:rPr>
                <w:b/>
              </w:rPr>
              <w:t>Nazwy kosztów</w:t>
            </w:r>
            <w:r>
              <w:rPr>
                <w:b/>
              </w:rPr>
              <w:t xml:space="preserve"> w budżecie projektu</w:t>
            </w:r>
          </w:p>
        </w:tc>
      </w:tr>
    </w:tbl>
    <w:p w:rsidR="00FA0B99" w:rsidRDefault="00FA0B99" w:rsidP="00FA0B99">
      <w:pPr>
        <w:spacing w:after="0"/>
        <w:jc w:val="both"/>
      </w:pPr>
    </w:p>
    <w:p w:rsidR="00FA0B99" w:rsidRDefault="00FA0B99" w:rsidP="00E160F7">
      <w:pPr>
        <w:spacing w:after="0"/>
        <w:jc w:val="both"/>
      </w:pPr>
      <w:r>
        <w:rPr>
          <w:rFonts w:ascii="Calibri" w:hAnsi="Calibri" w:cs="Calibri"/>
        </w:rPr>
        <w:t>Wnioskodawca nie powinien wskazywać w szczegółowym budżecie projektu informacji typu forma zaangażowania, liczba godzin zajęć, liczba grup zajęciowych, liczba osób na zajęciach, częstotliwość zajęć, cena jednostkowa itp. Informacje te należy wykazywać w uzasadnieniach dla poszczególnych wydatków pod szczegółowym budżetem projektu. Zgodnie z zaleceniami IK UP do centralnego systemu teleinformatycznego SL2014 nazwy pozycji powinny być odpowiednio ogólne tak, aby</w:t>
      </w:r>
      <w:r w:rsidRPr="009D0405">
        <w:rPr>
          <w:rFonts w:ascii="Calibri" w:hAnsi="Calibri" w:cs="Calibri"/>
        </w:rPr>
        <w:t xml:space="preserve"> drobne zmiany, które pojawiają się w trakcie realizacji projektu nie wiązały się ze zmianą nazw kosztów</w:t>
      </w:r>
      <w:r>
        <w:rPr>
          <w:rFonts w:ascii="Calibri" w:hAnsi="Calibri" w:cs="Calibri"/>
        </w:rPr>
        <w:t>.</w:t>
      </w:r>
    </w:p>
    <w:p w:rsidR="00EC7AB4" w:rsidRDefault="00EC7AB4" w:rsidP="00EC7AB4">
      <w:pPr>
        <w:jc w:val="both"/>
        <w:rPr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AB4" w:rsidTr="00E9181E">
        <w:tc>
          <w:tcPr>
            <w:tcW w:w="9212" w:type="dxa"/>
            <w:shd w:val="clear" w:color="auto" w:fill="BFBFBF" w:themeFill="background1" w:themeFillShade="BF"/>
          </w:tcPr>
          <w:p w:rsidR="00EC7AB4" w:rsidRPr="00790C12" w:rsidRDefault="00EC7AB4" w:rsidP="00E9181E">
            <w:pPr>
              <w:jc w:val="both"/>
              <w:rPr>
                <w:b/>
              </w:rPr>
            </w:pPr>
            <w:r w:rsidRPr="00790C12">
              <w:rPr>
                <w:b/>
              </w:rPr>
              <w:t>Wydatki inwestycyjne</w:t>
            </w:r>
          </w:p>
        </w:tc>
      </w:tr>
    </w:tbl>
    <w:p w:rsidR="00EC7AB4" w:rsidRPr="00790C12" w:rsidRDefault="00EC7AB4" w:rsidP="00EC7AB4">
      <w:pPr>
        <w:jc w:val="both"/>
        <w:rPr>
          <w:rFonts w:ascii="Calibri" w:hAnsi="Calibri"/>
        </w:rPr>
      </w:pPr>
    </w:p>
    <w:p w:rsidR="00EC7AB4" w:rsidRPr="00142096" w:rsidRDefault="00EC7AB4" w:rsidP="00EC7AB4">
      <w:pPr>
        <w:contextualSpacing/>
        <w:jc w:val="both"/>
      </w:pPr>
      <w:r>
        <w:t xml:space="preserve">1. </w:t>
      </w:r>
      <w:r w:rsidRPr="00142096">
        <w:rPr>
          <w:b/>
        </w:rPr>
        <w:t>W przypadku jednostek spoza sektora finansów publicznych</w:t>
      </w:r>
      <w:r w:rsidRPr="00142096">
        <w:t xml:space="preserve"> </w:t>
      </w:r>
      <w:r w:rsidRPr="00142096">
        <w:rPr>
          <w:b/>
        </w:rPr>
        <w:t>za wydatki inwestycyjne uznaje się wydatki planowane do poniesienia w ramach kategorii cross-financing, których wartość jednostkowa przekracza kwotę 10.000 zł oraz wydatki na zakup środków trwałych</w:t>
      </w:r>
      <w:r w:rsidRPr="00142096">
        <w:rPr>
          <w:rStyle w:val="Odwoanieprzypisudolnego"/>
          <w:b/>
        </w:rPr>
        <w:footnoteReference w:id="1"/>
      </w:r>
      <w:r w:rsidRPr="00142096">
        <w:rPr>
          <w:b/>
        </w:rPr>
        <w:t xml:space="preserve">, których wartość </w:t>
      </w:r>
      <w:r w:rsidRPr="00142096">
        <w:rPr>
          <w:b/>
        </w:rPr>
        <w:lastRenderedPageBreak/>
        <w:t xml:space="preserve">jednostkowa przekracza kwotę 10.000 zł, a przewidywany okres ich używania jest dłuższy niż rok. </w:t>
      </w:r>
      <w:r w:rsidRPr="00142096">
        <w:t xml:space="preserve">Wysokość środków przeznaczonych na sfinansowanie wydatków inwestycyjnych będzie określana na podstawie deklaracji składanych przez beneficjentów na etapie podpisywania umowy o dofinansowanie projektu. </w:t>
      </w:r>
    </w:p>
    <w:p w:rsidR="00EC7AB4" w:rsidRPr="00142096" w:rsidRDefault="00EC7AB4" w:rsidP="00EC7AB4">
      <w:pPr>
        <w:jc w:val="both"/>
      </w:pPr>
      <w:r w:rsidRPr="00142096">
        <w:t>Środki na sfinansowanie wydatków inwestycyjnych ponoszonych przez beneficjentów będących jednostkami spoza sektora finansów publicznych będą przekazywane przez IZ RPO WK-P w paragrafie 620 klasyfikacji budżetowej.</w:t>
      </w:r>
    </w:p>
    <w:p w:rsidR="00EC7AB4" w:rsidRDefault="00EC7AB4" w:rsidP="00EC7AB4">
      <w:pPr>
        <w:spacing w:after="0"/>
        <w:jc w:val="both"/>
        <w:rPr>
          <w:rFonts w:ascii="Calibri" w:hAnsi="Calibri"/>
        </w:rPr>
      </w:pPr>
      <w:r w:rsidRPr="00790C12">
        <w:rPr>
          <w:rFonts w:ascii="Calibri" w:hAnsi="Calibri"/>
        </w:rPr>
        <w:t>Ponadto w związku z koniecznością usystematyzowania podejścia w kwestii przekazywania oraz rozliczania przez IZ RPO WK-P środków dofinansowania przyjmuje się, iż w sytuacji wnoszenia do projektu wymaganego wkładu własnego przez beneficjentów będących jednostkami spoza sektora finansów publicznych wydatki inwestycyjne w całości ponoszone będą przez beneficjentów ze środków dofinansowania</w:t>
      </w:r>
      <w:r w:rsidRPr="00790C12">
        <w:rPr>
          <w:rStyle w:val="Odwoanieprzypisudolnego"/>
          <w:rFonts w:ascii="Calibri" w:hAnsi="Calibri"/>
        </w:rPr>
        <w:footnoteReference w:id="2"/>
      </w:r>
      <w:r w:rsidRPr="00790C12">
        <w:rPr>
          <w:rFonts w:ascii="Calibri" w:hAnsi="Calibri"/>
        </w:rPr>
        <w:t>, wkład własny natomiast w całości przeznaczony będzie na sfinansowanie ponoszonych przez beneficjentów wydatków bieżących.</w:t>
      </w:r>
    </w:p>
    <w:p w:rsidR="00EC7AB4" w:rsidRPr="00790C12" w:rsidRDefault="00EC7AB4" w:rsidP="00EC7AB4">
      <w:pPr>
        <w:spacing w:after="0"/>
        <w:ind w:left="708"/>
        <w:jc w:val="both"/>
        <w:rPr>
          <w:rFonts w:ascii="Calibri" w:hAnsi="Calibri"/>
        </w:rPr>
      </w:pPr>
    </w:p>
    <w:p w:rsidR="00EC7AB4" w:rsidRPr="00142096" w:rsidRDefault="00EC7AB4" w:rsidP="00EC7AB4">
      <w:pPr>
        <w:contextualSpacing/>
        <w:jc w:val="both"/>
      </w:pPr>
      <w:r>
        <w:t xml:space="preserve">2. </w:t>
      </w:r>
      <w:r w:rsidRPr="00142096">
        <w:rPr>
          <w:b/>
        </w:rPr>
        <w:t>W przypadku jednostek sektora finansów publicznych – za wydatki inwestycyjne uznaje się wydatki planowane do poniesienia w ramach kategorii cross-financing, których wartość jednostkowa przekracza kwotę 10.000 zł oraz wydatki na zakup środków trwałych</w:t>
      </w:r>
      <w:r w:rsidRPr="00142096">
        <w:rPr>
          <w:b/>
          <w:vertAlign w:val="superscript"/>
        </w:rPr>
        <w:t>1</w:t>
      </w:r>
      <w:r w:rsidRPr="00142096">
        <w:rPr>
          <w:b/>
        </w:rPr>
        <w:t>, których wartość jednostkowa przekracza kwotę 10.000 zł, a przewidywany okres ich używania jest dłuższy niż rok – o ile polityka rachunkowości danej jednostki bądź inne przepisy nie stanowią inaczej.</w:t>
      </w:r>
      <w:r w:rsidRPr="00142096">
        <w:t xml:space="preserve"> Wysokość środków przeznaczonych na sfinansowanie wydatków inwestycyjnych będzie określana na podstawie deklaracji składanych przez beneficjentów na etapie podpisywania umowy o dofinansowanie projektu.</w:t>
      </w:r>
    </w:p>
    <w:p w:rsidR="00EC7AB4" w:rsidRPr="00790C12" w:rsidRDefault="00EC7AB4" w:rsidP="00EC7AB4">
      <w:pPr>
        <w:spacing w:after="0"/>
        <w:jc w:val="both"/>
        <w:rPr>
          <w:rFonts w:ascii="Calibri" w:hAnsi="Calibri"/>
        </w:rPr>
      </w:pPr>
      <w:r w:rsidRPr="00790C12">
        <w:rPr>
          <w:rFonts w:ascii="Calibri" w:hAnsi="Calibri"/>
        </w:rPr>
        <w:t>Środki na sfinansowanie wydatków inwestycyjnych ponoszonych przez beneficjentów będących jednostkami samorządu terytorialnego będą przekazywane przez IZ RPO WK-</w:t>
      </w:r>
      <w:r>
        <w:rPr>
          <w:rFonts w:ascii="Calibri" w:hAnsi="Calibri"/>
        </w:rPr>
        <w:t>P</w:t>
      </w:r>
      <w:r w:rsidRPr="00790C12">
        <w:rPr>
          <w:rFonts w:ascii="Calibri" w:hAnsi="Calibri"/>
        </w:rPr>
        <w:t xml:space="preserve"> w paragrafie 625 klasyfikacji budżetowej, natomiast środki na sfinansowanie wydatków inwestycyjnych ponoszonych przez beneficjentów będących jednostkami sektora finansów publicznych i nie będących jednostkami samorządu terytorialnego będą przekazywane przez IZ RPO WK-</w:t>
      </w:r>
      <w:r>
        <w:rPr>
          <w:rFonts w:ascii="Calibri" w:hAnsi="Calibri"/>
        </w:rPr>
        <w:t>P</w:t>
      </w:r>
      <w:r w:rsidRPr="00790C12">
        <w:rPr>
          <w:rFonts w:ascii="Calibri" w:hAnsi="Calibri"/>
        </w:rPr>
        <w:t xml:space="preserve"> w paragrafie 620 klasyfikacji budżetowej.</w:t>
      </w:r>
    </w:p>
    <w:p w:rsidR="00EC7AB4" w:rsidRPr="00790C12" w:rsidRDefault="00EC7AB4" w:rsidP="00EC7AB4">
      <w:pPr>
        <w:spacing w:after="0"/>
        <w:jc w:val="both"/>
        <w:rPr>
          <w:rFonts w:ascii="Calibri" w:hAnsi="Calibri"/>
        </w:rPr>
      </w:pPr>
      <w:r w:rsidRPr="00790C12">
        <w:rPr>
          <w:rFonts w:ascii="Calibri" w:hAnsi="Calibri"/>
        </w:rPr>
        <w:t>Ponadto w związku z koniecznością usystematyzowania podejścia w kwestii przekazywania oraz rozliczania przez IZ RPO WK-</w:t>
      </w:r>
      <w:r>
        <w:rPr>
          <w:rFonts w:ascii="Calibri" w:hAnsi="Calibri"/>
        </w:rPr>
        <w:t>P</w:t>
      </w:r>
      <w:r w:rsidRPr="00790C12">
        <w:rPr>
          <w:rFonts w:ascii="Calibri" w:hAnsi="Calibri"/>
        </w:rPr>
        <w:t xml:space="preserve"> środków dofinansowania przyjmuje się, iż w sytuacji wnoszenia do projektu wymaganego wkładu własnego przez beneficjentów będących jednostkami sektora finansów publicznych, wydatki inwestycyjne, jak również wydatki bieżące, ponoszone będą przez beneficjentów w podziale na źródła finansowania, zgodnym z metodologią zadeklarowaną przez beneficjentów.</w:t>
      </w:r>
    </w:p>
    <w:p w:rsidR="00EC7AB4" w:rsidRPr="00126AA3" w:rsidRDefault="00EC7AB4" w:rsidP="00EC7AB4">
      <w:pPr>
        <w:jc w:val="both"/>
        <w:rPr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AB4" w:rsidTr="00E9181E">
        <w:tc>
          <w:tcPr>
            <w:tcW w:w="9212" w:type="dxa"/>
            <w:shd w:val="clear" w:color="auto" w:fill="BFBFBF" w:themeFill="background1" w:themeFillShade="BF"/>
          </w:tcPr>
          <w:p w:rsidR="00EC7AB4" w:rsidRPr="00146641" w:rsidRDefault="00EC7AB4" w:rsidP="00E9181E">
            <w:pPr>
              <w:pStyle w:val="Nagwek3"/>
              <w:outlineLvl w:val="2"/>
              <w:rPr>
                <w:noProof/>
                <w:sz w:val="22"/>
                <w:szCs w:val="22"/>
                <w:lang w:val="pl-PL"/>
              </w:rPr>
            </w:pPr>
            <w:r w:rsidRPr="007E3F23">
              <w:rPr>
                <w:noProof/>
                <w:sz w:val="22"/>
                <w:szCs w:val="22"/>
                <w:lang w:val="pl-PL"/>
              </w:rPr>
              <w:t xml:space="preserve">Zakaz podwójnego finansowania  </w:t>
            </w:r>
          </w:p>
        </w:tc>
      </w:tr>
    </w:tbl>
    <w:p w:rsidR="00EC7AB4" w:rsidRDefault="00EC7AB4" w:rsidP="00EC7AB4">
      <w:pPr>
        <w:pStyle w:val="Nagwek3"/>
        <w:rPr>
          <w:noProof/>
          <w:sz w:val="22"/>
          <w:szCs w:val="22"/>
          <w:lang w:val="pl-PL"/>
        </w:rPr>
      </w:pPr>
    </w:p>
    <w:p w:rsidR="00EC7AB4" w:rsidRDefault="00EC7AB4" w:rsidP="008B0437">
      <w:pPr>
        <w:jc w:val="both"/>
        <w:rPr>
          <w:lang w:eastAsia="x-none"/>
        </w:rPr>
      </w:pPr>
      <w:r w:rsidRPr="007E3F23">
        <w:rPr>
          <w:lang w:eastAsia="x-none"/>
        </w:rPr>
        <w:t>W ramach projektów współfinansowanych ze środków Unii Europejskiej niedozwolone jest podwójne finansowanie wydatków. Podwójne finansowanie</w:t>
      </w:r>
      <w:r>
        <w:rPr>
          <w:lang w:eastAsia="x-none"/>
        </w:rPr>
        <w:t xml:space="preserve"> oznacza w szczególności:</w:t>
      </w:r>
    </w:p>
    <w:p w:rsidR="00EC7AB4" w:rsidRDefault="00EC7AB4" w:rsidP="008B0437">
      <w:pPr>
        <w:numPr>
          <w:ilvl w:val="0"/>
          <w:numId w:val="5"/>
        </w:numPr>
        <w:spacing w:before="200" w:after="0"/>
        <w:jc w:val="both"/>
        <w:rPr>
          <w:lang w:eastAsia="x-none"/>
        </w:rPr>
      </w:pPr>
      <w:r>
        <w:rPr>
          <w:lang w:eastAsia="x-none"/>
        </w:rPr>
        <w:lastRenderedPageBreak/>
        <w:t>całkowite lub częściowe, więcej niż jednokrotne poświadczenie, zrefundowanie lub rozliczenie tego samego wydatku w ramach dofinansowania lub wkładu własnego tego samego lub różnych projektów współfinansowanych ze środków funduszy strukturalnych lub Funduszu Spójności lub/oraz dotacji z krajowych środków publicznych,</w:t>
      </w:r>
    </w:p>
    <w:p w:rsidR="00EC7AB4" w:rsidRDefault="00EC7AB4" w:rsidP="008B0437">
      <w:pPr>
        <w:numPr>
          <w:ilvl w:val="0"/>
          <w:numId w:val="5"/>
        </w:numPr>
        <w:spacing w:before="200" w:after="0"/>
        <w:jc w:val="both"/>
        <w:rPr>
          <w:lang w:eastAsia="x-none"/>
        </w:rPr>
      </w:pPr>
      <w:r>
        <w:rPr>
          <w:lang w:eastAsia="x-none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</w:t>
      </w:r>
    </w:p>
    <w:p w:rsidR="00EC7AB4" w:rsidRDefault="00EC7AB4" w:rsidP="008B0437">
      <w:pPr>
        <w:numPr>
          <w:ilvl w:val="0"/>
          <w:numId w:val="5"/>
        </w:numPr>
        <w:spacing w:before="200" w:after="0"/>
        <w:jc w:val="both"/>
        <w:rPr>
          <w:b/>
          <w:lang w:eastAsia="x-none"/>
        </w:rPr>
      </w:pPr>
      <w:r w:rsidRPr="00CA3B08">
        <w:rPr>
          <w:b/>
          <w:lang w:eastAsia="x-none"/>
        </w:rPr>
        <w:t>poświadczenie, zrefundowanie lub rozliczenie kosztów podatku VAT ze środków funduszy strukturalnych lub Funduszu Spójności, a następnie odzyskanie tego podatku ze środków budżetu państwa na podstawie ustawy z dnia 11 marca 2004 r. o podatku od towarów i usług,</w:t>
      </w:r>
    </w:p>
    <w:p w:rsidR="000F1EB8" w:rsidRDefault="000F1EB8" w:rsidP="000F1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00" w:after="0"/>
        <w:ind w:left="360"/>
        <w:jc w:val="both"/>
        <w:rPr>
          <w:b/>
          <w:lang w:eastAsia="x-none"/>
        </w:rPr>
      </w:pPr>
      <w:r w:rsidRPr="000F1EB8">
        <w:rPr>
          <w:b/>
          <w:lang w:eastAsia="x-none"/>
        </w:rPr>
        <w:t>Uwaga</w:t>
      </w:r>
      <w:r>
        <w:rPr>
          <w:b/>
          <w:lang w:eastAsia="x-none"/>
        </w:rPr>
        <w:t xml:space="preserve"> !!!</w:t>
      </w:r>
    </w:p>
    <w:p w:rsidR="000F1EB8" w:rsidRPr="000F1EB8" w:rsidRDefault="000F1EB8" w:rsidP="000F1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00" w:after="0"/>
        <w:ind w:left="360"/>
        <w:jc w:val="both"/>
        <w:rPr>
          <w:b/>
          <w:lang w:eastAsia="x-none"/>
        </w:rPr>
      </w:pPr>
      <w:r w:rsidRPr="000F1EB8">
        <w:rPr>
          <w:b/>
          <w:lang w:eastAsia="x-none"/>
        </w:rPr>
        <w:t xml:space="preserve">W konkursie należy stosować </w:t>
      </w:r>
      <w:r w:rsidRPr="000F1EB8">
        <w:rPr>
          <w:b/>
          <w:i/>
          <w:lang w:eastAsia="x-none"/>
        </w:rPr>
        <w:t>Zalecenia Ministerstwa Inwestycji i Rozwoju dotyczące rozliczenia podatku od towarów i usług (VAT) w przypadku udzielania wsparcia finansowego w ramach projektów Europejskiego Funduszu Społecznego</w:t>
      </w:r>
      <w:r w:rsidRPr="000F1EB8">
        <w:rPr>
          <w:b/>
          <w:lang w:eastAsia="x-none"/>
        </w:rPr>
        <w:t xml:space="preserve"> z dnia 28.08.20</w:t>
      </w:r>
      <w:r w:rsidR="00603E6E">
        <w:rPr>
          <w:b/>
          <w:lang w:eastAsia="x-none"/>
        </w:rPr>
        <w:t>18 r. stanowiące załącznik 1</w:t>
      </w:r>
      <w:r w:rsidR="00744D62">
        <w:rPr>
          <w:b/>
          <w:lang w:eastAsia="x-none"/>
        </w:rPr>
        <w:t>5</w:t>
      </w:r>
      <w:r w:rsidR="00603E6E">
        <w:rPr>
          <w:b/>
          <w:lang w:eastAsia="x-none"/>
        </w:rPr>
        <w:t xml:space="preserve">. </w:t>
      </w:r>
      <w:r w:rsidRPr="000F1EB8">
        <w:rPr>
          <w:b/>
          <w:lang w:eastAsia="x-none"/>
        </w:rPr>
        <w:t xml:space="preserve">Zalecenia zostały opracowane w celu zapewnienia jednolitych rozwiązań w zakresie przyznawania z EFS oraz rozliczania wsparcia bezzwrotnego (też kosztów wyposażenia i doposażenia stanowisk pracy oraz wsparcia pomostowego), tak aby zapewnić kwalifikowalność wydatków, w szczególności uniknąć podwójnego finansowania wydatków. </w:t>
      </w:r>
    </w:p>
    <w:p w:rsidR="000F1EB8" w:rsidRDefault="000F1EB8" w:rsidP="000F1EB8">
      <w:pPr>
        <w:spacing w:before="200" w:after="0"/>
        <w:ind w:left="720"/>
        <w:jc w:val="both"/>
        <w:rPr>
          <w:lang w:eastAsia="x-none"/>
        </w:rPr>
      </w:pPr>
    </w:p>
    <w:p w:rsidR="00EC7AB4" w:rsidRDefault="00603E6E" w:rsidP="000F1EB8">
      <w:pPr>
        <w:numPr>
          <w:ilvl w:val="0"/>
          <w:numId w:val="5"/>
        </w:numPr>
        <w:spacing w:before="200" w:after="0"/>
        <w:jc w:val="both"/>
        <w:rPr>
          <w:lang w:eastAsia="x-none"/>
        </w:rPr>
      </w:pPr>
      <w:r>
        <w:rPr>
          <w:lang w:eastAsia="x-none"/>
        </w:rPr>
        <w:t xml:space="preserve">zakupienie </w:t>
      </w:r>
      <w:r w:rsidR="00EC7AB4">
        <w:rPr>
          <w:lang w:eastAsia="x-none"/>
        </w:rPr>
        <w:t>środka trwałego z udziałem środków unijnych lub/oraz dotacji z krajowych środków publicznych, a następnie rozliczenie kosztów amortyzacji tego środka trwałego w ramach tego samego projektu lub innych współfinansowanych ze środków Unii Europejskiej,</w:t>
      </w:r>
    </w:p>
    <w:p w:rsidR="00EC7AB4" w:rsidRPr="003408E3" w:rsidRDefault="00EC7AB4" w:rsidP="00EC7AB4">
      <w:pPr>
        <w:ind w:left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EC7AB4" w:rsidRPr="003408E3" w:rsidTr="00E9181E">
        <w:trPr>
          <w:trHeight w:val="1675"/>
        </w:trPr>
        <w:tc>
          <w:tcPr>
            <w:tcW w:w="9755" w:type="dxa"/>
            <w:shd w:val="clear" w:color="auto" w:fill="F2F2F2"/>
          </w:tcPr>
          <w:p w:rsidR="00EC7AB4" w:rsidRPr="003408E3" w:rsidRDefault="00EC7AB4" w:rsidP="00E9181E">
            <w:pPr>
              <w:jc w:val="both"/>
            </w:pPr>
            <w:r w:rsidRPr="003408E3">
              <w:rPr>
                <w:b/>
              </w:rPr>
              <w:t>UWAGA!</w:t>
            </w:r>
            <w:r>
              <w:br/>
              <w:t>Oznacza to także, że niedozwolona jest sytuacja, w której najpierw środek trwały został nabyty</w:t>
            </w:r>
            <w:r w:rsidRPr="00B77C84">
              <w:t xml:space="preserve"> z udziałem środków </w:t>
            </w:r>
            <w:r>
              <w:t>unijnych, a następnie odpisy amortyzacyjne</w:t>
            </w:r>
            <w:r w:rsidRPr="00B77C84">
              <w:t xml:space="preserve"> od pełnej wartości </w:t>
            </w:r>
            <w:r>
              <w:t xml:space="preserve">danego </w:t>
            </w:r>
            <w:r w:rsidRPr="00B77C84">
              <w:t xml:space="preserve">środka trwałego </w:t>
            </w:r>
            <w:r>
              <w:t xml:space="preserve">zostały zaliczone </w:t>
            </w:r>
            <w:r w:rsidRPr="00B77C84">
              <w:t>do kosztów uzyskania przychodów, bez pomniejsz</w:t>
            </w:r>
            <w:r>
              <w:t>enia wartości środka trwałego o </w:t>
            </w:r>
            <w:r w:rsidRPr="00B77C84">
              <w:t>otrzymane dofinansowanie.</w:t>
            </w:r>
          </w:p>
        </w:tc>
      </w:tr>
    </w:tbl>
    <w:p w:rsidR="00EC7AB4" w:rsidRDefault="00EC7AB4" w:rsidP="00EC7AB4">
      <w:pPr>
        <w:numPr>
          <w:ilvl w:val="0"/>
          <w:numId w:val="5"/>
        </w:numPr>
        <w:spacing w:before="200" w:after="0" w:line="320" w:lineRule="atLeast"/>
        <w:jc w:val="both"/>
        <w:rPr>
          <w:lang w:eastAsia="x-none"/>
        </w:rPr>
      </w:pPr>
      <w:r>
        <w:rPr>
          <w:lang w:eastAsia="x-none"/>
        </w:rPr>
        <w:t>zrefundowanie wydatku poniesionego przez leasingodawcę na zakup przedmiotu leasingu w ramach leasingu finansowego, a następnie zrefundowanie rat opłacanych przez beneficjenta w związku z leasingiem tego przedmiotu,</w:t>
      </w:r>
    </w:p>
    <w:p w:rsidR="00EC7AB4" w:rsidRDefault="00EC7AB4" w:rsidP="00EC7AB4">
      <w:pPr>
        <w:numPr>
          <w:ilvl w:val="0"/>
          <w:numId w:val="5"/>
        </w:numPr>
        <w:spacing w:before="200" w:after="0" w:line="320" w:lineRule="atLeast"/>
        <w:jc w:val="both"/>
        <w:rPr>
          <w:lang w:eastAsia="x-none"/>
        </w:rPr>
      </w:pPr>
      <w:r>
        <w:rPr>
          <w:lang w:eastAsia="x-none"/>
        </w:rPr>
        <w:t>sytuacja, w której środki na prefinansowanie wkładu unijnego zostały pozyskane w formie kredytu lub pożyczki, które następnie zostały umorzone,</w:t>
      </w:r>
    </w:p>
    <w:p w:rsidR="00EC7AB4" w:rsidRDefault="00EC7AB4" w:rsidP="00EC7AB4">
      <w:pPr>
        <w:numPr>
          <w:ilvl w:val="0"/>
          <w:numId w:val="5"/>
        </w:numPr>
        <w:spacing w:before="200" w:after="0" w:line="320" w:lineRule="atLeast"/>
        <w:jc w:val="both"/>
        <w:rPr>
          <w:lang w:eastAsia="x-none"/>
        </w:rPr>
      </w:pPr>
      <w:r>
        <w:rPr>
          <w:lang w:eastAsia="x-none"/>
        </w:rPr>
        <w:t>objęcie kosztów kwalifikowalnych projektu jednocześnie wsparciem pożyczkowym i gwarancyjnym,</w:t>
      </w:r>
    </w:p>
    <w:p w:rsidR="00EC7AB4" w:rsidRDefault="00EC7AB4" w:rsidP="00EC7AB4">
      <w:pPr>
        <w:numPr>
          <w:ilvl w:val="0"/>
          <w:numId w:val="5"/>
        </w:numPr>
        <w:spacing w:before="200" w:after="0" w:line="320" w:lineRule="atLeast"/>
        <w:jc w:val="both"/>
        <w:rPr>
          <w:lang w:eastAsia="x-none"/>
        </w:rPr>
      </w:pPr>
      <w:r>
        <w:rPr>
          <w:lang w:eastAsia="x-none"/>
        </w:rPr>
        <w:lastRenderedPageBreak/>
        <w:t>zakup używanego środka trwałego, który w ciągu 7 poprzednich lat (10 lat dla nieruchomości) był współfinansowany ze środków Unii Europejskiej lub/oraz dotacji z krajowych środków publicznych,</w:t>
      </w:r>
    </w:p>
    <w:p w:rsidR="00EC7AB4" w:rsidRPr="00774800" w:rsidRDefault="00EC7AB4" w:rsidP="00EC7AB4">
      <w:pPr>
        <w:numPr>
          <w:ilvl w:val="0"/>
          <w:numId w:val="5"/>
        </w:numPr>
        <w:spacing w:before="200" w:after="0" w:line="320" w:lineRule="atLeast"/>
        <w:jc w:val="both"/>
        <w:rPr>
          <w:lang w:eastAsia="x-none"/>
        </w:rPr>
      </w:pPr>
      <w:r>
        <w:rPr>
          <w:lang w:eastAsia="x-none"/>
        </w:rPr>
        <w:t>rozliczenie tego samego wydatku w kosztach pośrednich oraz kosztach bezpośrednich projektu.</w:t>
      </w:r>
    </w:p>
    <w:p w:rsidR="003F48CD" w:rsidRDefault="003F48CD" w:rsidP="00EC7AB4">
      <w:pPr>
        <w:jc w:val="both"/>
      </w:pPr>
    </w:p>
    <w:sectPr w:rsidR="003F48CD" w:rsidSect="005E010C"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7F7" w:rsidRPr="00A449D2" w:rsidRDefault="003F67F7" w:rsidP="00A449D2">
      <w:pPr>
        <w:spacing w:after="0" w:line="240" w:lineRule="auto"/>
      </w:pPr>
      <w:r>
        <w:separator/>
      </w:r>
    </w:p>
  </w:endnote>
  <w:endnote w:type="continuationSeparator" w:id="0">
    <w:p w:rsidR="003F67F7" w:rsidRPr="00A449D2" w:rsidRDefault="003F67F7" w:rsidP="00A4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7F7" w:rsidRPr="00A449D2" w:rsidRDefault="003F67F7" w:rsidP="00A449D2">
      <w:pPr>
        <w:spacing w:after="0" w:line="240" w:lineRule="auto"/>
      </w:pPr>
      <w:r>
        <w:separator/>
      </w:r>
    </w:p>
  </w:footnote>
  <w:footnote w:type="continuationSeparator" w:id="0">
    <w:p w:rsidR="003F67F7" w:rsidRPr="00A449D2" w:rsidRDefault="003F67F7" w:rsidP="00A449D2">
      <w:pPr>
        <w:spacing w:after="0" w:line="240" w:lineRule="auto"/>
      </w:pPr>
      <w:r>
        <w:continuationSeparator/>
      </w:r>
    </w:p>
  </w:footnote>
  <w:footnote w:id="1">
    <w:p w:rsidR="00EC7AB4" w:rsidRPr="00790C12" w:rsidRDefault="00EC7AB4" w:rsidP="00EC7AB4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790C12">
        <w:rPr>
          <w:rStyle w:val="Odwoanieprzypisudolnego"/>
          <w:rFonts w:ascii="Calibri" w:hAnsi="Calibri"/>
          <w:sz w:val="18"/>
          <w:szCs w:val="18"/>
        </w:rPr>
        <w:footnoteRef/>
      </w:r>
      <w:r w:rsidRPr="00790C12">
        <w:rPr>
          <w:rFonts w:ascii="Calibri" w:hAnsi="Calibri"/>
          <w:sz w:val="18"/>
          <w:szCs w:val="18"/>
        </w:rPr>
        <w:t xml:space="preserve"> </w:t>
      </w:r>
      <w:r w:rsidR="00B87219" w:rsidRPr="00B87219">
        <w:rPr>
          <w:rFonts w:ascii="Calibri" w:hAnsi="Calibri"/>
          <w:sz w:val="18"/>
          <w:szCs w:val="18"/>
        </w:rPr>
        <w:t>Środki trwałe - zgodnie z art. 3 ust. 1 pkt 15 ustawy z dnia 29 września 1994 r. o rachunkowości (Dz. U. z 2018 poz. 395 z późn. zm.), z zastrzeżeniem inwestycji, o których mowa w art. 3 ust. 1 pkt 17 tej ustawy, rzeczowe aktywa trwałe i zrównane z nimi o przewidywanym okresie ekonomicznej użyteczności dłuższym niż rok, kompletne, zdatne do użytku i przeznaczone na potrzeby jednostki organizacyjnej; zalicza się do nich w szczególności: nieruchomości – w tym grunty, prawo użytkowania wieczystego gruntu, budynki i budowle, a także będące odrębną własności lokale, spółdzielcze prawo własnościowe do lokalu mieszkalnego oraz spółdzielcze prawo do lokalu użytkowego, maszyny, urządzenia, środki transportu i inne rzeczy, ulepszenia w obcych środkach trwałych, inwentarz żywy.</w:t>
      </w:r>
      <w:r w:rsidRPr="00790C12">
        <w:rPr>
          <w:rFonts w:ascii="Calibri" w:hAnsi="Calibri"/>
          <w:sz w:val="18"/>
          <w:szCs w:val="18"/>
        </w:rPr>
        <w:t xml:space="preserve"> </w:t>
      </w:r>
    </w:p>
  </w:footnote>
  <w:footnote w:id="2">
    <w:p w:rsidR="00EC7AB4" w:rsidRPr="00695713" w:rsidRDefault="00EC7AB4" w:rsidP="00EC7AB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790C12">
        <w:rPr>
          <w:rStyle w:val="Odwoanieprzypisudolnego"/>
          <w:sz w:val="18"/>
          <w:szCs w:val="18"/>
        </w:rPr>
        <w:footnoteRef/>
      </w:r>
      <w:r w:rsidRPr="00790C12">
        <w:rPr>
          <w:sz w:val="18"/>
          <w:szCs w:val="18"/>
        </w:rPr>
        <w:t xml:space="preserve"> Z wyłączeniem sytuacji, w których beneficjenci będący jednostkami spoza sektora finansów publicznych będą wnosić do projektu wkład własny w postaci środków trwałych.</w:t>
      </w:r>
      <w:r w:rsidRPr="00695713"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03B" w:rsidRDefault="0095403B">
    <w:pPr>
      <w:pStyle w:val="Nagwek"/>
    </w:pPr>
    <w:r w:rsidRPr="003F48CD">
      <w:rPr>
        <w:noProof/>
        <w:lang w:eastAsia="pl-PL"/>
      </w:rPr>
      <w:drawing>
        <wp:inline distT="0" distB="0" distL="0" distR="0" wp14:anchorId="00DBB98F" wp14:editId="086A4EA3">
          <wp:extent cx="5760720" cy="817245"/>
          <wp:effectExtent l="0" t="0" r="0" b="1905"/>
          <wp:docPr id="1" name="Obraz 1" descr="C:\Users\a.luczak\AppData\Local\Microsoft\Windows\Temporary Internet Files\Content.Outlook\7IP7UV0Z\poziom_achromat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luczak\AppData\Local\Microsoft\Windows\Temporary Internet Files\Content.Outlook\7IP7UV0Z\poziom_achromat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6BC5"/>
    <w:multiLevelType w:val="hybridMultilevel"/>
    <w:tmpl w:val="F810315E"/>
    <w:lvl w:ilvl="0" w:tplc="853E0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EC6599"/>
    <w:multiLevelType w:val="hybridMultilevel"/>
    <w:tmpl w:val="7F10F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1400"/>
    <w:multiLevelType w:val="hybridMultilevel"/>
    <w:tmpl w:val="C7F82912"/>
    <w:lvl w:ilvl="0" w:tplc="E95C216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219"/>
    <w:multiLevelType w:val="hybridMultilevel"/>
    <w:tmpl w:val="FC946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23778"/>
    <w:multiLevelType w:val="hybridMultilevel"/>
    <w:tmpl w:val="7262AD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A4B2D"/>
    <w:multiLevelType w:val="hybridMultilevel"/>
    <w:tmpl w:val="5B484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40403"/>
    <w:multiLevelType w:val="hybridMultilevel"/>
    <w:tmpl w:val="55AAB28E"/>
    <w:lvl w:ilvl="0" w:tplc="32E4D9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11EDE"/>
    <w:multiLevelType w:val="hybridMultilevel"/>
    <w:tmpl w:val="AEA43842"/>
    <w:lvl w:ilvl="0" w:tplc="269A2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73025"/>
    <w:multiLevelType w:val="hybridMultilevel"/>
    <w:tmpl w:val="290AD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E44E7"/>
    <w:multiLevelType w:val="hybridMultilevel"/>
    <w:tmpl w:val="FA9A6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215C1"/>
    <w:multiLevelType w:val="hybridMultilevel"/>
    <w:tmpl w:val="94561AA4"/>
    <w:lvl w:ilvl="0" w:tplc="7C6E0ADE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C1CFC"/>
    <w:multiLevelType w:val="hybridMultilevel"/>
    <w:tmpl w:val="591AC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E7"/>
    <w:rsid w:val="00024D90"/>
    <w:rsid w:val="00026E9B"/>
    <w:rsid w:val="000327BF"/>
    <w:rsid w:val="00032891"/>
    <w:rsid w:val="000426A4"/>
    <w:rsid w:val="00051191"/>
    <w:rsid w:val="00061B95"/>
    <w:rsid w:val="000743F2"/>
    <w:rsid w:val="000B430D"/>
    <w:rsid w:val="000E003F"/>
    <w:rsid w:val="000F1EB8"/>
    <w:rsid w:val="00107343"/>
    <w:rsid w:val="001378B1"/>
    <w:rsid w:val="001A2905"/>
    <w:rsid w:val="001C5A54"/>
    <w:rsid w:val="001E5F11"/>
    <w:rsid w:val="001F08D9"/>
    <w:rsid w:val="001F1057"/>
    <w:rsid w:val="00231098"/>
    <w:rsid w:val="00261415"/>
    <w:rsid w:val="002676FA"/>
    <w:rsid w:val="00293DCB"/>
    <w:rsid w:val="002B3E95"/>
    <w:rsid w:val="00302BDD"/>
    <w:rsid w:val="0031430E"/>
    <w:rsid w:val="00316BCF"/>
    <w:rsid w:val="00317BB1"/>
    <w:rsid w:val="00320698"/>
    <w:rsid w:val="00326E37"/>
    <w:rsid w:val="003324D8"/>
    <w:rsid w:val="00332BB3"/>
    <w:rsid w:val="00341120"/>
    <w:rsid w:val="003D0B96"/>
    <w:rsid w:val="003E370F"/>
    <w:rsid w:val="003F3221"/>
    <w:rsid w:val="003F48CD"/>
    <w:rsid w:val="003F67F7"/>
    <w:rsid w:val="00400EE6"/>
    <w:rsid w:val="0041444B"/>
    <w:rsid w:val="00423E5C"/>
    <w:rsid w:val="00447028"/>
    <w:rsid w:val="004718E5"/>
    <w:rsid w:val="004829D4"/>
    <w:rsid w:val="004C7E68"/>
    <w:rsid w:val="004D39B1"/>
    <w:rsid w:val="00552C8F"/>
    <w:rsid w:val="00576089"/>
    <w:rsid w:val="00591A99"/>
    <w:rsid w:val="005A7498"/>
    <w:rsid w:val="005B5B5F"/>
    <w:rsid w:val="005C007F"/>
    <w:rsid w:val="005D7716"/>
    <w:rsid w:val="005E010C"/>
    <w:rsid w:val="00603E6E"/>
    <w:rsid w:val="006110D0"/>
    <w:rsid w:val="00651366"/>
    <w:rsid w:val="006A48DF"/>
    <w:rsid w:val="006D39B5"/>
    <w:rsid w:val="006E789B"/>
    <w:rsid w:val="00707DFB"/>
    <w:rsid w:val="007145EE"/>
    <w:rsid w:val="00744D62"/>
    <w:rsid w:val="00747120"/>
    <w:rsid w:val="00757796"/>
    <w:rsid w:val="00763295"/>
    <w:rsid w:val="007A24AA"/>
    <w:rsid w:val="007B7EBD"/>
    <w:rsid w:val="007C0678"/>
    <w:rsid w:val="007C0B72"/>
    <w:rsid w:val="007C5A4C"/>
    <w:rsid w:val="007C7CFC"/>
    <w:rsid w:val="007D0550"/>
    <w:rsid w:val="00832770"/>
    <w:rsid w:val="00836AF9"/>
    <w:rsid w:val="00882A59"/>
    <w:rsid w:val="008B0437"/>
    <w:rsid w:val="008B7F80"/>
    <w:rsid w:val="008E519C"/>
    <w:rsid w:val="00926F59"/>
    <w:rsid w:val="0095403B"/>
    <w:rsid w:val="009635E4"/>
    <w:rsid w:val="009803CE"/>
    <w:rsid w:val="0098340C"/>
    <w:rsid w:val="00984130"/>
    <w:rsid w:val="009D085D"/>
    <w:rsid w:val="009E4220"/>
    <w:rsid w:val="009F4DE0"/>
    <w:rsid w:val="00A27CA6"/>
    <w:rsid w:val="00A3109C"/>
    <w:rsid w:val="00A449D2"/>
    <w:rsid w:val="00A54732"/>
    <w:rsid w:val="00A54922"/>
    <w:rsid w:val="00A57216"/>
    <w:rsid w:val="00A6119D"/>
    <w:rsid w:val="00AA1BB1"/>
    <w:rsid w:val="00AA1F34"/>
    <w:rsid w:val="00AA63D8"/>
    <w:rsid w:val="00B35EE7"/>
    <w:rsid w:val="00B50B9A"/>
    <w:rsid w:val="00B6299A"/>
    <w:rsid w:val="00B87219"/>
    <w:rsid w:val="00B90113"/>
    <w:rsid w:val="00B912C3"/>
    <w:rsid w:val="00BD310A"/>
    <w:rsid w:val="00BE63A2"/>
    <w:rsid w:val="00C072A6"/>
    <w:rsid w:val="00C16F45"/>
    <w:rsid w:val="00C32DCC"/>
    <w:rsid w:val="00C43C96"/>
    <w:rsid w:val="00C45EBC"/>
    <w:rsid w:val="00C51797"/>
    <w:rsid w:val="00C55ACE"/>
    <w:rsid w:val="00C64746"/>
    <w:rsid w:val="00C6514B"/>
    <w:rsid w:val="00C7457D"/>
    <w:rsid w:val="00C74F45"/>
    <w:rsid w:val="00C75C5D"/>
    <w:rsid w:val="00C7792B"/>
    <w:rsid w:val="00C91A33"/>
    <w:rsid w:val="00C94DFF"/>
    <w:rsid w:val="00C958F0"/>
    <w:rsid w:val="00CA3B08"/>
    <w:rsid w:val="00CB1442"/>
    <w:rsid w:val="00CC3D0C"/>
    <w:rsid w:val="00CD29AC"/>
    <w:rsid w:val="00CD441B"/>
    <w:rsid w:val="00D0392B"/>
    <w:rsid w:val="00D07091"/>
    <w:rsid w:val="00D34BF4"/>
    <w:rsid w:val="00D35AEC"/>
    <w:rsid w:val="00DA490E"/>
    <w:rsid w:val="00DD776F"/>
    <w:rsid w:val="00DE0541"/>
    <w:rsid w:val="00E02C7C"/>
    <w:rsid w:val="00E160F7"/>
    <w:rsid w:val="00E35760"/>
    <w:rsid w:val="00E50FEE"/>
    <w:rsid w:val="00E701DA"/>
    <w:rsid w:val="00E774D0"/>
    <w:rsid w:val="00EA2AA2"/>
    <w:rsid w:val="00EC242E"/>
    <w:rsid w:val="00EC49C8"/>
    <w:rsid w:val="00EC7AB4"/>
    <w:rsid w:val="00ED6F64"/>
    <w:rsid w:val="00EE3BC9"/>
    <w:rsid w:val="00EF051F"/>
    <w:rsid w:val="00EF6705"/>
    <w:rsid w:val="00F056C9"/>
    <w:rsid w:val="00F36959"/>
    <w:rsid w:val="00F51CCE"/>
    <w:rsid w:val="00F64CF5"/>
    <w:rsid w:val="00FA0B99"/>
    <w:rsid w:val="00FC56B8"/>
    <w:rsid w:val="00FE0C3B"/>
    <w:rsid w:val="00FE60DC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025A"/>
  <w15:docId w15:val="{49DE5D45-F7CF-4455-B70F-A48382E3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3DCB"/>
  </w:style>
  <w:style w:type="paragraph" w:styleId="Nagwek3">
    <w:name w:val="heading 3"/>
    <w:basedOn w:val="Normalny"/>
    <w:next w:val="Normalny"/>
    <w:link w:val="Nagwek3Znak"/>
    <w:uiPriority w:val="99"/>
    <w:qFormat/>
    <w:rsid w:val="00EC7AB4"/>
    <w:pPr>
      <w:keepNext/>
      <w:autoSpaceDE w:val="0"/>
      <w:autoSpaceDN w:val="0"/>
      <w:spacing w:after="0"/>
      <w:jc w:val="both"/>
      <w:outlineLvl w:val="2"/>
    </w:pPr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5E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4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9D2"/>
  </w:style>
  <w:style w:type="paragraph" w:styleId="Stopka">
    <w:name w:val="footer"/>
    <w:basedOn w:val="Normalny"/>
    <w:link w:val="StopkaZnak"/>
    <w:uiPriority w:val="99"/>
    <w:unhideWhenUsed/>
    <w:rsid w:val="00A44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9D2"/>
  </w:style>
  <w:style w:type="paragraph" w:styleId="Tekstdymka">
    <w:name w:val="Balloon Text"/>
    <w:basedOn w:val="Normalny"/>
    <w:link w:val="TekstdymkaZnak"/>
    <w:uiPriority w:val="99"/>
    <w:semiHidden/>
    <w:unhideWhenUsed/>
    <w:rsid w:val="00A4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9D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5C0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0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07F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5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CB144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rsid w:val="00EC7AB4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EC7A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AB4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AB4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Akapit z listą BS Znak,Numerowanie Znak,List Paragraph Znak"/>
    <w:link w:val="Akapitzlist"/>
    <w:uiPriority w:val="34"/>
    <w:qFormat/>
    <w:locked/>
    <w:rsid w:val="002B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E4422-A1DF-4B0F-A73F-C8A7E7CF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2347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Mucha</dc:creator>
  <cp:lastModifiedBy>Karolina Mucha</cp:lastModifiedBy>
  <cp:revision>6</cp:revision>
  <dcterms:created xsi:type="dcterms:W3CDTF">2018-10-01T12:45:00Z</dcterms:created>
  <dcterms:modified xsi:type="dcterms:W3CDTF">2018-10-04T06:34:00Z</dcterms:modified>
</cp:coreProperties>
</file>