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Załącznik nr 7 do Regulaminu wyboru projektów</w:t>
      </w:r>
    </w:p>
    <w:p w:rsidR="00D06337" w:rsidRDefault="00D06337" w:rsidP="0086563B">
      <w:pPr>
        <w:spacing w:after="0" w:line="276" w:lineRule="auto"/>
        <w:rPr>
          <w:rFonts w:ascii="Arial" w:hAnsi="Arial" w:cs="Arial"/>
          <w:b/>
          <w:bCs/>
          <w:sz w:val="24"/>
          <w:szCs w:val="24"/>
        </w:rPr>
      </w:pPr>
    </w:p>
    <w:p w:rsidR="00D06337" w:rsidRDefault="00D06337" w:rsidP="0086563B">
      <w:pPr>
        <w:spacing w:after="0" w:line="276" w:lineRule="auto"/>
        <w:rPr>
          <w:rFonts w:ascii="Arial" w:hAnsi="Arial" w:cs="Arial"/>
          <w:b/>
          <w:bCs/>
          <w:sz w:val="24"/>
          <w:szCs w:val="24"/>
        </w:rPr>
      </w:pPr>
    </w:p>
    <w:p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rsidR="00414987" w:rsidRPr="00D943E3" w:rsidRDefault="00414987" w:rsidP="0086563B">
      <w:pPr>
        <w:spacing w:after="0" w:line="276" w:lineRule="auto"/>
        <w:rPr>
          <w:rFonts w:ascii="Arial" w:hAnsi="Arial" w:cs="Arial"/>
          <w:sz w:val="24"/>
          <w:szCs w:val="24"/>
        </w:rPr>
      </w:pPr>
    </w:p>
    <w:p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w:t>
      </w:r>
      <w:proofErr w:type="spellStart"/>
      <w:r w:rsidRPr="00D943E3">
        <w:rPr>
          <w:rFonts w:ascii="Arial" w:hAnsi="Arial" w:cs="Arial"/>
          <w:sz w:val="24"/>
          <w:szCs w:val="24"/>
        </w:rPr>
        <w:t>niekwalifikowalność</w:t>
      </w:r>
      <w:proofErr w:type="spellEnd"/>
      <w:r w:rsidRPr="00D943E3">
        <w:rPr>
          <w:rFonts w:ascii="Arial" w:hAnsi="Arial" w:cs="Arial"/>
          <w:sz w:val="24"/>
          <w:szCs w:val="24"/>
        </w:rPr>
        <w:t xml:space="preserve"> wydatków z tytułu zastosowania reguły proporcjonalności. Istotne jest więc, aby beneficjenci i instytucje uczestniczące w systemie wdrażania EFS+ wiedzieli, jak należy interpretować wskaźnik dotyczący uzyskiwania kwalifikacji w projektach EFS+. </w:t>
      </w:r>
    </w:p>
    <w:p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są włączane do ZSK na wniosek zainteresowanego podmiotu. </w:t>
      </w:r>
    </w:p>
    <w:p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rsidTr="00E573A5">
        <w:trPr>
          <w:trHeight w:val="1418"/>
        </w:trPr>
        <w:tc>
          <w:tcPr>
            <w:tcW w:w="1980"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rsidTr="00E573A5">
        <w:trPr>
          <w:trHeight w:val="1418"/>
        </w:trPr>
        <w:tc>
          <w:tcPr>
            <w:tcW w:w="1980"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rsidTr="00E573A5">
        <w:trPr>
          <w:trHeight w:val="1351"/>
        </w:trPr>
        <w:tc>
          <w:tcPr>
            <w:tcW w:w="1980"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rsidR="008B4B70" w:rsidRDefault="008B4B70" w:rsidP="0086563B">
      <w:pPr>
        <w:spacing w:line="276" w:lineRule="auto"/>
        <w:rPr>
          <w:rFonts w:ascii="Arial" w:hAnsi="Arial" w:cs="Arial"/>
          <w:b/>
          <w:bCs/>
          <w:sz w:val="24"/>
          <w:szCs w:val="24"/>
        </w:rPr>
      </w:pPr>
    </w:p>
    <w:p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rsidTr="00E573A5">
        <w:trPr>
          <w:trHeight w:val="1588"/>
        </w:trPr>
        <w:tc>
          <w:tcPr>
            <w:tcW w:w="1980" w:type="dxa"/>
          </w:tcPr>
          <w:p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rsidTr="00E573A5">
        <w:trPr>
          <w:trHeight w:val="1588"/>
        </w:trPr>
        <w:tc>
          <w:tcPr>
            <w:tcW w:w="1980"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rsidTr="00EF6C3B">
        <w:trPr>
          <w:trHeight w:val="708"/>
        </w:trPr>
        <w:tc>
          <w:tcPr>
            <w:tcW w:w="1980" w:type="dxa"/>
          </w:tcPr>
          <w:p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 xml:space="preserve">Obwieszczenie Ministra Edukacji Narodowej z dnia 31 października 2018 r. w sprawie włączenia kwalifikacji rynkowej „Praca z dzieckiem metodą Marii Montessori” do Zintegrowanego Systemu </w:t>
            </w:r>
            <w:proofErr w:type="spellStart"/>
            <w:r w:rsidRPr="00EF6C3B">
              <w:rPr>
                <w:rFonts w:ascii="Arial" w:hAnsi="Arial" w:cs="Arial"/>
                <w:sz w:val="24"/>
                <w:szCs w:val="24"/>
              </w:rPr>
              <w:t>Kwalifikacj</w:t>
            </w:r>
            <w:proofErr w:type="spellEnd"/>
          </w:p>
        </w:tc>
        <w:tc>
          <w:tcPr>
            <w:tcW w:w="1984" w:type="dxa"/>
          </w:tcPr>
          <w:p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Default="00EF6C3B" w:rsidP="0086563B">
            <w:pPr>
              <w:spacing w:line="276" w:lineRule="auto"/>
            </w:pPr>
          </w:p>
          <w:p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rsidR="00EF6C3B" w:rsidRDefault="00EF6C3B" w:rsidP="0086563B">
            <w:pPr>
              <w:spacing w:line="276" w:lineRule="auto"/>
              <w:rPr>
                <w:rFonts w:ascii="Arial" w:hAnsi="Arial" w:cs="Arial"/>
                <w:b/>
                <w:bCs/>
                <w:sz w:val="24"/>
                <w:szCs w:val="24"/>
              </w:rPr>
            </w:pPr>
          </w:p>
          <w:p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w:t>
            </w:r>
            <w:r w:rsidRPr="00EF6C3B">
              <w:rPr>
                <w:rFonts w:ascii="Arial" w:hAnsi="Arial" w:cs="Arial"/>
                <w:sz w:val="24"/>
                <w:szCs w:val="24"/>
              </w:rPr>
              <w:lastRenderedPageBreak/>
              <w:t>przedmiotowy, strukturalno</w:t>
            </w:r>
            <w:r>
              <w:rPr>
                <w:rFonts w:ascii="Arial" w:hAnsi="Arial" w:cs="Arial"/>
                <w:sz w:val="24"/>
                <w:szCs w:val="24"/>
              </w:rPr>
              <w:t>-</w:t>
            </w:r>
            <w:r w:rsidRPr="00EF6C3B">
              <w:rPr>
                <w:rFonts w:ascii="Arial" w:hAnsi="Arial" w:cs="Arial"/>
                <w:sz w:val="24"/>
                <w:szCs w:val="24"/>
              </w:rPr>
              <w:t xml:space="preserve">dynamiczny); </w:t>
            </w:r>
          </w:p>
          <w:p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rsidTr="00E573A5">
        <w:trPr>
          <w:trHeight w:val="1588"/>
        </w:trPr>
        <w:tc>
          <w:tcPr>
            <w:tcW w:w="1980"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rsidTr="00E573A5">
        <w:trPr>
          <w:trHeight w:val="1588"/>
        </w:trPr>
        <w:tc>
          <w:tcPr>
            <w:tcW w:w="1980"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w:t>
            </w:r>
            <w:r w:rsidRPr="007F141A">
              <w:rPr>
                <w:rFonts w:ascii="Arial" w:hAnsi="Arial" w:cs="Arial"/>
                <w:sz w:val="24"/>
                <w:szCs w:val="24"/>
              </w:rPr>
              <w:lastRenderedPageBreak/>
              <w:t>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w:t>
            </w:r>
            <w:r w:rsidRPr="007F141A">
              <w:rPr>
                <w:rFonts w:ascii="Arial" w:hAnsi="Arial" w:cs="Arial"/>
                <w:sz w:val="24"/>
                <w:szCs w:val="24"/>
              </w:rPr>
              <w:lastRenderedPageBreak/>
              <w:t xml:space="preserve">przeprowadza test czujki; </w:t>
            </w:r>
          </w:p>
          <w:p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rsidTr="00E573A5">
        <w:trPr>
          <w:trHeight w:val="1512"/>
        </w:trPr>
        <w:tc>
          <w:tcPr>
            <w:tcW w:w="1980"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w:t>
      </w:r>
      <w:proofErr w:type="spellStart"/>
      <w:proofErr w:type="gramStart"/>
      <w:r w:rsidRPr="00D943E3">
        <w:rPr>
          <w:rFonts w:ascii="Arial" w:hAnsi="Arial" w:cs="Arial"/>
          <w:sz w:val="24"/>
          <w:szCs w:val="24"/>
        </w:rPr>
        <w:t>osoby,osiągnęła</w:t>
      </w:r>
      <w:proofErr w:type="spellEnd"/>
      <w:proofErr w:type="gramEnd"/>
      <w:r w:rsidRPr="00D943E3">
        <w:rPr>
          <w:rFonts w:ascii="Arial" w:hAnsi="Arial" w:cs="Arial"/>
          <w:sz w:val="24"/>
          <w:szCs w:val="24"/>
        </w:rPr>
        <w:t xml:space="preserve">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t>
      </w:r>
      <w:r w:rsidRPr="00D943E3">
        <w:rPr>
          <w:rFonts w:ascii="Arial" w:hAnsi="Arial" w:cs="Arial"/>
          <w:sz w:val="24"/>
          <w:szCs w:val="24"/>
        </w:rPr>
        <w:lastRenderedPageBreak/>
        <w:t xml:space="preserve">(weryfikowane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rsidR="0076697E" w:rsidRDefault="0076697E" w:rsidP="0086563B">
      <w:pPr>
        <w:spacing w:line="276" w:lineRule="auto"/>
        <w:rPr>
          <w:rFonts w:ascii="Arial" w:hAnsi="Arial" w:cs="Arial"/>
          <w:sz w:val="24"/>
          <w:szCs w:val="24"/>
        </w:rPr>
      </w:pPr>
    </w:p>
    <w:p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zm.), </w:t>
      </w:r>
    </w:p>
    <w:p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zm.), </w:t>
      </w:r>
    </w:p>
    <w:p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w:t>
      </w:r>
      <w:proofErr w:type="spellStart"/>
      <w:r w:rsidRPr="0076697E">
        <w:rPr>
          <w:rFonts w:ascii="Arial" w:hAnsi="Arial" w:cs="Arial"/>
          <w:sz w:val="24"/>
          <w:szCs w:val="24"/>
        </w:rPr>
        <w:t>zm</w:t>
      </w:r>
      <w:proofErr w:type="spellEnd"/>
      <w:r w:rsidRPr="0076697E">
        <w:rPr>
          <w:rFonts w:ascii="Arial" w:hAnsi="Arial" w:cs="Arial"/>
          <w:sz w:val="24"/>
          <w:szCs w:val="24"/>
        </w:rPr>
        <w:t xml:space="preserve">), </w:t>
      </w:r>
    </w:p>
    <w:p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zm.), </w:t>
      </w:r>
    </w:p>
    <w:p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zm.), </w:t>
      </w:r>
    </w:p>
    <w:p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w:t>
      </w:r>
      <w:proofErr w:type="spellStart"/>
      <w:r w:rsidRPr="0076697E">
        <w:rPr>
          <w:rFonts w:ascii="Arial" w:hAnsi="Arial" w:cs="Arial"/>
          <w:sz w:val="24"/>
          <w:szCs w:val="24"/>
        </w:rPr>
        <w:t>późn</w:t>
      </w:r>
      <w:proofErr w:type="spellEnd"/>
      <w:r w:rsidRPr="0076697E">
        <w:rPr>
          <w:rFonts w:ascii="Arial" w:hAnsi="Arial" w:cs="Arial"/>
          <w:sz w:val="24"/>
          <w:szCs w:val="24"/>
        </w:rPr>
        <w:t xml:space="preserve">. zm.); </w:t>
      </w:r>
    </w:p>
    <w:p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rsidR="008B4B70" w:rsidRDefault="008B4B70" w:rsidP="0086563B">
      <w:pPr>
        <w:pStyle w:val="Akapitzlist"/>
        <w:spacing w:line="276" w:lineRule="auto"/>
        <w:rPr>
          <w:rFonts w:ascii="Arial" w:hAnsi="Arial" w:cs="Arial"/>
          <w:sz w:val="24"/>
          <w:szCs w:val="24"/>
        </w:rPr>
      </w:pPr>
    </w:p>
    <w:p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rsidR="008B4B70" w:rsidRDefault="008B4B70" w:rsidP="0086563B">
      <w:pPr>
        <w:pStyle w:val="Akapitzlist"/>
        <w:spacing w:line="276" w:lineRule="auto"/>
        <w:ind w:left="363"/>
        <w:rPr>
          <w:rFonts w:ascii="Arial" w:hAnsi="Arial" w:cs="Arial"/>
          <w:b/>
          <w:bCs/>
          <w:sz w:val="24"/>
          <w:szCs w:val="24"/>
        </w:rPr>
      </w:pPr>
    </w:p>
    <w:p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rsidR="008B4B70" w:rsidRDefault="008B4B70" w:rsidP="0086563B">
      <w:pPr>
        <w:pStyle w:val="Akapitzlist"/>
        <w:spacing w:line="276" w:lineRule="auto"/>
        <w:ind w:left="363"/>
        <w:rPr>
          <w:rFonts w:ascii="Arial" w:hAnsi="Arial" w:cs="Arial"/>
          <w:sz w:val="24"/>
          <w:szCs w:val="24"/>
        </w:rPr>
      </w:pPr>
    </w:p>
    <w:p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rsidR="00914D7D" w:rsidRDefault="00914D7D" w:rsidP="0086563B">
      <w:pPr>
        <w:pStyle w:val="Akapitzlist"/>
        <w:spacing w:line="276" w:lineRule="auto"/>
        <w:rPr>
          <w:rFonts w:ascii="Arial" w:hAnsi="Arial" w:cs="Arial"/>
          <w:sz w:val="24"/>
          <w:szCs w:val="24"/>
        </w:rPr>
      </w:pPr>
    </w:p>
    <w:p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rsidR="0015353F" w:rsidRDefault="0015353F" w:rsidP="0086563B">
      <w:pPr>
        <w:pStyle w:val="Akapitzlist"/>
        <w:spacing w:line="276" w:lineRule="auto"/>
        <w:rPr>
          <w:rFonts w:ascii="Arial" w:hAnsi="Arial" w:cs="Arial"/>
          <w:sz w:val="24"/>
          <w:szCs w:val="24"/>
        </w:rPr>
      </w:pPr>
    </w:p>
    <w:p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rsidR="0015353F" w:rsidRDefault="0015353F" w:rsidP="0086563B">
      <w:pPr>
        <w:pStyle w:val="Akapitzlist"/>
        <w:spacing w:line="276" w:lineRule="auto"/>
        <w:rPr>
          <w:rFonts w:ascii="Arial" w:hAnsi="Arial" w:cs="Arial"/>
          <w:sz w:val="24"/>
          <w:szCs w:val="24"/>
        </w:rPr>
      </w:pPr>
    </w:p>
    <w:p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certyfikaty z zakresu doradztwa finansowego, oparte na standardzie EFPA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Financial Planning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w:t>
      </w:r>
      <w:proofErr w:type="spellStart"/>
      <w:r w:rsidRPr="008B4B70">
        <w:rPr>
          <w:rFonts w:ascii="Arial" w:hAnsi="Arial" w:cs="Arial"/>
          <w:sz w:val="24"/>
          <w:szCs w:val="24"/>
        </w:rPr>
        <w:t>ogólnobankowy</w:t>
      </w:r>
      <w:proofErr w:type="spellEnd"/>
      <w:r w:rsidRPr="008B4B70">
        <w:rPr>
          <w:rFonts w:ascii="Arial" w:hAnsi="Arial" w:cs="Arial"/>
          <w:sz w:val="24"/>
          <w:szCs w:val="24"/>
        </w:rPr>
        <w:t xml:space="preserve"> ECB EFCB (EBTN/SSKBP) (Warszawski Instytut Bankowości jako instytucja akredytowana przez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Banking and Financial Services Training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rsidR="002805E1" w:rsidRDefault="002805E1" w:rsidP="0086563B">
      <w:pPr>
        <w:pStyle w:val="Akapitzlist"/>
        <w:spacing w:line="276" w:lineRule="auto"/>
        <w:rPr>
          <w:rFonts w:ascii="Arial" w:hAnsi="Arial" w:cs="Arial"/>
          <w:sz w:val="24"/>
          <w:szCs w:val="24"/>
        </w:rPr>
      </w:pPr>
    </w:p>
    <w:p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rsidR="002805E1" w:rsidRDefault="002805E1" w:rsidP="0086563B">
      <w:pPr>
        <w:pStyle w:val="Akapitzlist"/>
        <w:spacing w:line="276" w:lineRule="auto"/>
        <w:rPr>
          <w:rFonts w:ascii="Arial" w:hAnsi="Arial" w:cs="Arial"/>
          <w:sz w:val="24"/>
          <w:szCs w:val="24"/>
        </w:rPr>
      </w:pPr>
    </w:p>
    <w:p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Certyfikaty potwierdzające znajomość języków obcych wg klasyfikacji „</w:t>
      </w:r>
      <w:proofErr w:type="spellStart"/>
      <w:r w:rsidRPr="008B4B70">
        <w:rPr>
          <w:rFonts w:ascii="Arial" w:hAnsi="Arial" w:cs="Arial"/>
          <w:sz w:val="24"/>
          <w:szCs w:val="24"/>
        </w:rPr>
        <w:t>Common</w:t>
      </w:r>
      <w:proofErr w:type="spellEnd"/>
      <w:r w:rsidRPr="008B4B70">
        <w:rPr>
          <w:rFonts w:ascii="Arial" w:hAnsi="Arial" w:cs="Arial"/>
          <w:sz w:val="24"/>
          <w:szCs w:val="24"/>
        </w:rPr>
        <w:t xml:space="preserve">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Framework of Reference for </w:t>
      </w:r>
      <w:proofErr w:type="spellStart"/>
      <w:r w:rsidRPr="008B4B70">
        <w:rPr>
          <w:rFonts w:ascii="Arial" w:hAnsi="Arial" w:cs="Arial"/>
          <w:sz w:val="24"/>
          <w:szCs w:val="24"/>
        </w:rPr>
        <w:t>Languages</w:t>
      </w:r>
      <w:proofErr w:type="spellEnd"/>
      <w:r w:rsidRPr="008B4B70">
        <w:rPr>
          <w:rFonts w:ascii="Arial" w:hAnsi="Arial" w:cs="Arial"/>
          <w:sz w:val="24"/>
          <w:szCs w:val="24"/>
        </w:rPr>
        <w:t xml:space="preserve">: Learning, </w:t>
      </w:r>
      <w:proofErr w:type="spellStart"/>
      <w:r w:rsidRPr="008B4B70">
        <w:rPr>
          <w:rFonts w:ascii="Arial" w:hAnsi="Arial" w:cs="Arial"/>
          <w:sz w:val="24"/>
          <w:szCs w:val="24"/>
        </w:rPr>
        <w:t>Teaching</w:t>
      </w:r>
      <w:proofErr w:type="spellEnd"/>
      <w:r w:rsidRPr="008B4B70">
        <w:rPr>
          <w:rFonts w:ascii="Arial" w:hAnsi="Arial" w:cs="Arial"/>
          <w:sz w:val="24"/>
          <w:szCs w:val="24"/>
        </w:rPr>
        <w:t xml:space="preserve">, </w:t>
      </w:r>
      <w:proofErr w:type="spellStart"/>
      <w:r w:rsidRPr="008B4B70">
        <w:rPr>
          <w:rFonts w:ascii="Arial" w:hAnsi="Arial" w:cs="Arial"/>
          <w:sz w:val="24"/>
          <w:szCs w:val="24"/>
        </w:rPr>
        <w:t>Assessment</w:t>
      </w:r>
      <w:proofErr w:type="spellEnd"/>
      <w:r w:rsidRPr="008B4B70">
        <w:rPr>
          <w:rFonts w:ascii="Arial" w:hAnsi="Arial" w:cs="Arial"/>
          <w:sz w:val="24"/>
          <w:szCs w:val="24"/>
        </w:rPr>
        <w:t xml:space="preserve">” - „Europejski System Opisu kształcenia językowego: uczenie się, nauczanie, ocenianie”. </w:t>
      </w:r>
    </w:p>
    <w:p w:rsidR="002805E1" w:rsidRDefault="002805E1" w:rsidP="0086563B">
      <w:pPr>
        <w:pStyle w:val="Akapitzlist"/>
        <w:spacing w:line="276" w:lineRule="auto"/>
        <w:rPr>
          <w:rFonts w:ascii="Arial" w:hAnsi="Arial" w:cs="Arial"/>
          <w:sz w:val="24"/>
          <w:szCs w:val="24"/>
        </w:rPr>
      </w:pPr>
    </w:p>
    <w:p w:rsidR="008B4B70" w:rsidRDefault="008B4B70" w:rsidP="0086563B">
      <w:pPr>
        <w:pStyle w:val="Akapitzlist"/>
        <w:spacing w:line="276" w:lineRule="auto"/>
        <w:rPr>
          <w:rFonts w:ascii="Arial" w:hAnsi="Arial" w:cs="Arial"/>
          <w:sz w:val="24"/>
          <w:szCs w:val="24"/>
        </w:rPr>
      </w:pPr>
    </w:p>
    <w:p w:rsidR="008B4B70" w:rsidRDefault="008B4B70" w:rsidP="0086563B">
      <w:pPr>
        <w:pStyle w:val="Akapitzlist"/>
        <w:spacing w:line="276" w:lineRule="auto"/>
        <w:rPr>
          <w:rFonts w:ascii="Arial" w:hAnsi="Arial" w:cs="Arial"/>
          <w:sz w:val="24"/>
          <w:szCs w:val="24"/>
        </w:rPr>
      </w:pPr>
    </w:p>
    <w:p w:rsidR="008B4B70" w:rsidRDefault="008B4B70" w:rsidP="0086563B">
      <w:pPr>
        <w:pStyle w:val="Akapitzlist"/>
        <w:spacing w:line="276" w:lineRule="auto"/>
        <w:rPr>
          <w:rFonts w:ascii="Arial" w:hAnsi="Arial" w:cs="Arial"/>
          <w:sz w:val="24"/>
          <w:szCs w:val="24"/>
        </w:rPr>
      </w:pPr>
    </w:p>
    <w:p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rsidTr="000371B4">
        <w:tc>
          <w:tcPr>
            <w:tcW w:w="4536" w:type="dxa"/>
          </w:tcPr>
          <w:p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rsidR="00F30AAE" w:rsidRDefault="00F30AAE" w:rsidP="0086563B">
            <w:pPr>
              <w:pStyle w:val="Akapitzlist"/>
              <w:spacing w:line="276" w:lineRule="auto"/>
              <w:ind w:left="0"/>
              <w:rPr>
                <w:rFonts w:ascii="Arial" w:hAnsi="Arial" w:cs="Arial"/>
                <w:sz w:val="24"/>
                <w:szCs w:val="24"/>
              </w:rPr>
            </w:pPr>
            <w:proofErr w:type="spellStart"/>
            <w:r w:rsidRPr="00F30AAE">
              <w:rPr>
                <w:rFonts w:ascii="Arial" w:hAnsi="Arial" w:cs="Arial"/>
                <w:sz w:val="24"/>
                <w:szCs w:val="24"/>
              </w:rPr>
              <w:t>Tpass</w:t>
            </w:r>
            <w:proofErr w:type="spellEnd"/>
            <w:r w:rsidRPr="00F30AAE">
              <w:rPr>
                <w:rFonts w:ascii="Arial" w:hAnsi="Arial" w:cs="Arial"/>
                <w:sz w:val="24"/>
                <w:szCs w:val="24"/>
              </w:rPr>
              <w:t xml:space="preserve"> sp. z o.o. </w:t>
            </w:r>
          </w:p>
          <w:p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rsidTr="000371B4">
        <w:tc>
          <w:tcPr>
            <w:tcW w:w="4536" w:type="dxa"/>
          </w:tcPr>
          <w:p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rsidTr="000371B4">
        <w:tc>
          <w:tcPr>
            <w:tcW w:w="4536" w:type="dxa"/>
          </w:tcPr>
          <w:p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rsidTr="000371B4">
        <w:tc>
          <w:tcPr>
            <w:tcW w:w="4536" w:type="dxa"/>
          </w:tcPr>
          <w:p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rsidTr="000371B4">
        <w:tc>
          <w:tcPr>
            <w:tcW w:w="4536" w:type="dxa"/>
          </w:tcPr>
          <w:p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rsidTr="000371B4">
        <w:tc>
          <w:tcPr>
            <w:tcW w:w="4536" w:type="dxa"/>
          </w:tcPr>
          <w:p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rsidTr="000371B4">
        <w:tc>
          <w:tcPr>
            <w:tcW w:w="4536" w:type="dxa"/>
          </w:tcPr>
          <w:p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rsidTr="000371B4">
        <w:tc>
          <w:tcPr>
            <w:tcW w:w="4536" w:type="dxa"/>
          </w:tcPr>
          <w:p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rsidTr="000371B4">
        <w:tc>
          <w:tcPr>
            <w:tcW w:w="4536" w:type="dxa"/>
          </w:tcPr>
          <w:p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rsidTr="000371B4">
        <w:tc>
          <w:tcPr>
            <w:tcW w:w="4536" w:type="dxa"/>
          </w:tcPr>
          <w:p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rsidTr="000371B4">
        <w:tc>
          <w:tcPr>
            <w:tcW w:w="4536" w:type="dxa"/>
          </w:tcPr>
          <w:p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rsidTr="000371B4">
        <w:tc>
          <w:tcPr>
            <w:tcW w:w="4536" w:type="dxa"/>
          </w:tcPr>
          <w:p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rsidTr="000371B4">
        <w:tc>
          <w:tcPr>
            <w:tcW w:w="4536" w:type="dxa"/>
          </w:tcPr>
          <w:p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rsidR="000371B4" w:rsidRDefault="000371B4" w:rsidP="0086563B">
      <w:pPr>
        <w:spacing w:line="276" w:lineRule="auto"/>
        <w:rPr>
          <w:rFonts w:ascii="Arial" w:hAnsi="Arial" w:cs="Arial"/>
          <w:sz w:val="24"/>
          <w:szCs w:val="24"/>
        </w:rPr>
      </w:pPr>
    </w:p>
    <w:p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w:t>
      </w:r>
      <w:r w:rsidRPr="000371B4">
        <w:rPr>
          <w:rFonts w:ascii="Arial" w:hAnsi="Arial" w:cs="Arial"/>
          <w:sz w:val="24"/>
          <w:szCs w:val="24"/>
        </w:rPr>
        <w:lastRenderedPageBreak/>
        <w:t xml:space="preserve">Głównej Instytutów Badawczych (zakładka: Laboratoria Akredytowane/Wykaz akredytowanych jednostek certyfikujących). </w:t>
      </w:r>
    </w:p>
    <w:p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rsidR="00847F5C" w:rsidRDefault="00847F5C" w:rsidP="0086563B">
      <w:pPr>
        <w:pStyle w:val="Akapitzlist"/>
        <w:spacing w:line="276" w:lineRule="auto"/>
        <w:rPr>
          <w:rFonts w:ascii="Arial" w:hAnsi="Arial" w:cs="Arial"/>
          <w:sz w:val="24"/>
          <w:szCs w:val="24"/>
        </w:rPr>
      </w:pPr>
    </w:p>
    <w:p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w:t>
      </w:r>
      <w:proofErr w:type="gramStart"/>
      <w:r w:rsidRPr="00CF6499">
        <w:rPr>
          <w:rFonts w:ascii="Arial" w:hAnsi="Arial" w:cs="Arial"/>
          <w:b/>
          <w:bCs/>
          <w:sz w:val="24"/>
          <w:szCs w:val="24"/>
        </w:rPr>
        <w:t>Kwalifikacji)/</w:t>
      </w:r>
      <w:proofErr w:type="gramEnd"/>
      <w:r w:rsidRPr="00CF6499">
        <w:rPr>
          <w:rFonts w:ascii="Arial" w:hAnsi="Arial" w:cs="Arial"/>
          <w:b/>
          <w:bCs/>
          <w:sz w:val="24"/>
          <w:szCs w:val="24"/>
        </w:rPr>
        <w:t xml:space="preserve">kompetencję na potrzeby mierzenia wskaźników monitorowania EFS+ dot. uzyskiwania kwalifikacji </w:t>
      </w:r>
    </w:p>
    <w:p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rsidTr="00CF6499">
        <w:tc>
          <w:tcPr>
            <w:tcW w:w="7371" w:type="dxa"/>
          </w:tcPr>
          <w:p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rsidTr="00CF6499">
        <w:tc>
          <w:tcPr>
            <w:tcW w:w="9067" w:type="dxa"/>
            <w:gridSpan w:val="3"/>
          </w:tcPr>
          <w:p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rsidTr="00CF6499">
        <w:tc>
          <w:tcPr>
            <w:tcW w:w="7371" w:type="dxa"/>
          </w:tcPr>
          <w:p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rsidR="002448E2" w:rsidRDefault="002448E2" w:rsidP="0086563B">
            <w:pPr>
              <w:pStyle w:val="Akapitzlist"/>
              <w:spacing w:line="276" w:lineRule="auto"/>
              <w:ind w:left="0"/>
              <w:rPr>
                <w:rFonts w:ascii="Arial" w:hAnsi="Arial" w:cs="Arial"/>
                <w:sz w:val="24"/>
                <w:szCs w:val="24"/>
              </w:rPr>
            </w:pPr>
          </w:p>
        </w:tc>
        <w:tc>
          <w:tcPr>
            <w:tcW w:w="845" w:type="dxa"/>
          </w:tcPr>
          <w:p w:rsidR="002448E2" w:rsidRDefault="002448E2" w:rsidP="0086563B">
            <w:pPr>
              <w:pStyle w:val="Akapitzlist"/>
              <w:spacing w:line="276" w:lineRule="auto"/>
              <w:ind w:left="0"/>
              <w:rPr>
                <w:rFonts w:ascii="Arial" w:hAnsi="Arial" w:cs="Arial"/>
                <w:sz w:val="24"/>
                <w:szCs w:val="24"/>
              </w:rPr>
            </w:pPr>
          </w:p>
        </w:tc>
      </w:tr>
      <w:tr w:rsidR="002448E2" w:rsidTr="00CF6499">
        <w:tc>
          <w:tcPr>
            <w:tcW w:w="7371" w:type="dxa"/>
          </w:tcPr>
          <w:p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rsidR="002448E2" w:rsidRDefault="002448E2" w:rsidP="0086563B">
            <w:pPr>
              <w:pStyle w:val="Akapitzlist"/>
              <w:spacing w:line="276" w:lineRule="auto"/>
              <w:ind w:left="0"/>
              <w:rPr>
                <w:rFonts w:ascii="Arial" w:hAnsi="Arial" w:cs="Arial"/>
                <w:sz w:val="24"/>
                <w:szCs w:val="24"/>
              </w:rPr>
            </w:pPr>
          </w:p>
        </w:tc>
        <w:tc>
          <w:tcPr>
            <w:tcW w:w="845" w:type="dxa"/>
          </w:tcPr>
          <w:p w:rsidR="002448E2" w:rsidRDefault="002448E2" w:rsidP="0086563B">
            <w:pPr>
              <w:pStyle w:val="Akapitzlist"/>
              <w:spacing w:line="276" w:lineRule="auto"/>
              <w:ind w:left="0"/>
              <w:rPr>
                <w:rFonts w:ascii="Arial" w:hAnsi="Arial" w:cs="Arial"/>
                <w:sz w:val="24"/>
                <w:szCs w:val="24"/>
              </w:rPr>
            </w:pPr>
          </w:p>
        </w:tc>
      </w:tr>
      <w:tr w:rsidR="002448E2" w:rsidTr="00CF6499">
        <w:tc>
          <w:tcPr>
            <w:tcW w:w="7371" w:type="dxa"/>
          </w:tcPr>
          <w:p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rsidR="002448E2" w:rsidRDefault="002448E2" w:rsidP="0086563B">
            <w:pPr>
              <w:pStyle w:val="Akapitzlist"/>
              <w:spacing w:line="276" w:lineRule="auto"/>
              <w:ind w:left="0"/>
              <w:rPr>
                <w:rFonts w:ascii="Arial" w:hAnsi="Arial" w:cs="Arial"/>
                <w:sz w:val="24"/>
                <w:szCs w:val="24"/>
              </w:rPr>
            </w:pPr>
          </w:p>
        </w:tc>
        <w:tc>
          <w:tcPr>
            <w:tcW w:w="845" w:type="dxa"/>
          </w:tcPr>
          <w:p w:rsidR="002448E2" w:rsidRDefault="002448E2" w:rsidP="0086563B">
            <w:pPr>
              <w:pStyle w:val="Akapitzlist"/>
              <w:spacing w:line="276" w:lineRule="auto"/>
              <w:ind w:left="0"/>
              <w:rPr>
                <w:rFonts w:ascii="Arial" w:hAnsi="Arial" w:cs="Arial"/>
                <w:sz w:val="24"/>
                <w:szCs w:val="24"/>
              </w:rPr>
            </w:pPr>
          </w:p>
        </w:tc>
      </w:tr>
      <w:tr w:rsidR="002448E2" w:rsidTr="00CF6499">
        <w:tc>
          <w:tcPr>
            <w:tcW w:w="7371" w:type="dxa"/>
          </w:tcPr>
          <w:p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rsidR="002448E2" w:rsidRDefault="002448E2" w:rsidP="0086563B">
            <w:pPr>
              <w:pStyle w:val="Akapitzlist"/>
              <w:spacing w:line="276" w:lineRule="auto"/>
              <w:ind w:left="0"/>
              <w:rPr>
                <w:rFonts w:ascii="Arial" w:hAnsi="Arial" w:cs="Arial"/>
                <w:sz w:val="24"/>
                <w:szCs w:val="24"/>
              </w:rPr>
            </w:pPr>
          </w:p>
        </w:tc>
        <w:tc>
          <w:tcPr>
            <w:tcW w:w="845" w:type="dxa"/>
          </w:tcPr>
          <w:p w:rsidR="002448E2" w:rsidRDefault="002448E2" w:rsidP="0086563B">
            <w:pPr>
              <w:pStyle w:val="Akapitzlist"/>
              <w:spacing w:line="276" w:lineRule="auto"/>
              <w:ind w:left="0"/>
              <w:rPr>
                <w:rFonts w:ascii="Arial" w:hAnsi="Arial" w:cs="Arial"/>
                <w:sz w:val="24"/>
                <w:szCs w:val="24"/>
              </w:rPr>
            </w:pPr>
          </w:p>
        </w:tc>
      </w:tr>
      <w:tr w:rsidR="002448E2" w:rsidTr="00CF6499">
        <w:tc>
          <w:tcPr>
            <w:tcW w:w="7371" w:type="dxa"/>
          </w:tcPr>
          <w:p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rsidR="002448E2" w:rsidRDefault="002448E2" w:rsidP="0086563B">
            <w:pPr>
              <w:pStyle w:val="Akapitzlist"/>
              <w:spacing w:line="276" w:lineRule="auto"/>
              <w:ind w:left="0"/>
              <w:rPr>
                <w:rFonts w:ascii="Arial" w:hAnsi="Arial" w:cs="Arial"/>
                <w:sz w:val="24"/>
                <w:szCs w:val="24"/>
              </w:rPr>
            </w:pPr>
          </w:p>
        </w:tc>
        <w:tc>
          <w:tcPr>
            <w:tcW w:w="845" w:type="dxa"/>
          </w:tcPr>
          <w:p w:rsidR="002448E2" w:rsidRDefault="002448E2" w:rsidP="0086563B">
            <w:pPr>
              <w:pStyle w:val="Akapitzlist"/>
              <w:spacing w:line="276" w:lineRule="auto"/>
              <w:ind w:left="0"/>
              <w:rPr>
                <w:rFonts w:ascii="Arial" w:hAnsi="Arial" w:cs="Arial"/>
                <w:sz w:val="24"/>
                <w:szCs w:val="24"/>
              </w:rPr>
            </w:pPr>
          </w:p>
        </w:tc>
      </w:tr>
      <w:tr w:rsidR="002448E2" w:rsidTr="00CF6499">
        <w:tc>
          <w:tcPr>
            <w:tcW w:w="9067" w:type="dxa"/>
            <w:gridSpan w:val="3"/>
          </w:tcPr>
          <w:p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rsidTr="00CF6499">
        <w:tc>
          <w:tcPr>
            <w:tcW w:w="9067" w:type="dxa"/>
            <w:gridSpan w:val="3"/>
          </w:tcPr>
          <w:p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rsidTr="00CF6499">
        <w:tc>
          <w:tcPr>
            <w:tcW w:w="7371" w:type="dxa"/>
          </w:tcPr>
          <w:p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rsidR="005765C7" w:rsidRDefault="005765C7" w:rsidP="0086563B">
            <w:pPr>
              <w:pStyle w:val="Akapitzlist"/>
              <w:spacing w:line="276" w:lineRule="auto"/>
              <w:ind w:left="0"/>
              <w:rPr>
                <w:rFonts w:ascii="Arial" w:hAnsi="Arial" w:cs="Arial"/>
                <w:sz w:val="24"/>
                <w:szCs w:val="24"/>
              </w:rPr>
            </w:pPr>
          </w:p>
        </w:tc>
        <w:tc>
          <w:tcPr>
            <w:tcW w:w="845" w:type="dxa"/>
          </w:tcPr>
          <w:p w:rsidR="005765C7" w:rsidRDefault="005765C7" w:rsidP="0086563B">
            <w:pPr>
              <w:pStyle w:val="Akapitzlist"/>
              <w:spacing w:line="276" w:lineRule="auto"/>
              <w:ind w:left="0"/>
              <w:rPr>
                <w:rFonts w:ascii="Arial" w:hAnsi="Arial" w:cs="Arial"/>
                <w:sz w:val="24"/>
                <w:szCs w:val="24"/>
              </w:rPr>
            </w:pPr>
          </w:p>
        </w:tc>
      </w:tr>
      <w:tr w:rsidR="005765C7" w:rsidTr="00CF6499">
        <w:tc>
          <w:tcPr>
            <w:tcW w:w="7371" w:type="dxa"/>
          </w:tcPr>
          <w:p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rsidR="005765C7" w:rsidRDefault="005765C7" w:rsidP="0086563B">
            <w:pPr>
              <w:pStyle w:val="Akapitzlist"/>
              <w:spacing w:line="276" w:lineRule="auto"/>
              <w:ind w:left="0"/>
              <w:rPr>
                <w:rFonts w:ascii="Arial" w:hAnsi="Arial" w:cs="Arial"/>
                <w:sz w:val="24"/>
                <w:szCs w:val="24"/>
              </w:rPr>
            </w:pPr>
          </w:p>
        </w:tc>
        <w:tc>
          <w:tcPr>
            <w:tcW w:w="845" w:type="dxa"/>
          </w:tcPr>
          <w:p w:rsidR="005765C7" w:rsidRDefault="005765C7" w:rsidP="0086563B">
            <w:pPr>
              <w:pStyle w:val="Akapitzlist"/>
              <w:spacing w:line="276" w:lineRule="auto"/>
              <w:ind w:left="0"/>
              <w:rPr>
                <w:rFonts w:ascii="Arial" w:hAnsi="Arial" w:cs="Arial"/>
                <w:sz w:val="24"/>
                <w:szCs w:val="24"/>
              </w:rPr>
            </w:pPr>
          </w:p>
        </w:tc>
      </w:tr>
      <w:tr w:rsidR="00BB6642" w:rsidTr="00CF6499">
        <w:tc>
          <w:tcPr>
            <w:tcW w:w="7371" w:type="dxa"/>
          </w:tcPr>
          <w:p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rsidR="00BB6642" w:rsidRDefault="00BB6642" w:rsidP="0086563B">
            <w:pPr>
              <w:pStyle w:val="Akapitzlist"/>
              <w:spacing w:line="276" w:lineRule="auto"/>
              <w:ind w:left="0"/>
              <w:rPr>
                <w:rFonts w:ascii="Arial" w:hAnsi="Arial" w:cs="Arial"/>
                <w:sz w:val="24"/>
                <w:szCs w:val="24"/>
              </w:rPr>
            </w:pPr>
          </w:p>
        </w:tc>
      </w:tr>
      <w:tr w:rsidR="00BB6642" w:rsidTr="00CF6499">
        <w:tc>
          <w:tcPr>
            <w:tcW w:w="9067" w:type="dxa"/>
            <w:gridSpan w:val="3"/>
          </w:tcPr>
          <w:p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33FB" w:rsidRDefault="003B33FB" w:rsidP="00FE1ED0">
      <w:pPr>
        <w:spacing w:after="0" w:line="240" w:lineRule="auto"/>
      </w:pPr>
      <w:r>
        <w:separator/>
      </w:r>
    </w:p>
  </w:endnote>
  <w:endnote w:type="continuationSeparator" w:id="0">
    <w:p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33FB" w:rsidRDefault="003B33FB" w:rsidP="00FE1ED0">
      <w:pPr>
        <w:spacing w:after="0" w:line="240" w:lineRule="auto"/>
      </w:pPr>
      <w:r>
        <w:separator/>
      </w:r>
    </w:p>
  </w:footnote>
  <w:footnote w:type="continuationSeparator" w:id="0">
    <w:p w:rsidR="003B33FB" w:rsidRDefault="003B33FB" w:rsidP="00FE1ED0">
      <w:pPr>
        <w:spacing w:after="0" w:line="240" w:lineRule="auto"/>
      </w:pPr>
      <w:r>
        <w:continuationSeparator/>
      </w:r>
    </w:p>
  </w:footnote>
  <w:footnote w:id="1">
    <w:p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w:t>
      </w:r>
      <w:proofErr w:type="spellStart"/>
      <w:r w:rsidRPr="00BB6642">
        <w:rPr>
          <w:rFonts w:ascii="Arial" w:hAnsi="Arial" w:cs="Arial"/>
        </w:rPr>
        <w:t>Common</w:t>
      </w:r>
      <w:proofErr w:type="spellEnd"/>
      <w:r w:rsidRPr="00BB6642">
        <w:rPr>
          <w:rFonts w:ascii="Arial" w:hAnsi="Arial" w:cs="Arial"/>
        </w:rPr>
        <w:t xml:space="preserve"> </w:t>
      </w:r>
      <w:proofErr w:type="spellStart"/>
      <w:r w:rsidRPr="00BB6642">
        <w:rPr>
          <w:rFonts w:ascii="Arial" w:hAnsi="Arial" w:cs="Arial"/>
        </w:rPr>
        <w:t>indicators</w:t>
      </w:r>
      <w:proofErr w:type="spellEnd"/>
      <w:r w:rsidRPr="00BB6642">
        <w:rPr>
          <w:rFonts w:ascii="Arial" w:hAnsi="Arial" w:cs="Arial"/>
        </w:rPr>
        <w:t xml:space="preserve"> </w:t>
      </w:r>
      <w:proofErr w:type="spellStart"/>
      <w:r w:rsidRPr="00BB6642">
        <w:rPr>
          <w:rFonts w:ascii="Arial" w:hAnsi="Arial" w:cs="Arial"/>
        </w:rPr>
        <w:t>toolbox</w:t>
      </w:r>
      <w:proofErr w:type="spellEnd"/>
      <w:r w:rsidRPr="00BB6642">
        <w:rPr>
          <w:rFonts w:ascii="Arial" w:hAnsi="Arial" w:cs="Arial"/>
        </w:rPr>
        <w:t xml:space="preserve">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4F7D" w:rsidRDefault="00714F7D">
    <w:pPr>
      <w:pStyle w:val="Nagwek"/>
    </w:pPr>
    <w:r>
      <w:rPr>
        <w:noProof/>
      </w:rPr>
      <w:drawing>
        <wp:inline distT="0" distB="0" distL="0" distR="0" wp14:anchorId="35940412">
          <wp:extent cx="5761355" cy="536575"/>
          <wp:effectExtent l="0" t="0" r="0" b="0"/>
          <wp:docPr id="11927339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353F"/>
    <w:rsid w:val="001E3A62"/>
    <w:rsid w:val="00215F31"/>
    <w:rsid w:val="002448E2"/>
    <w:rsid w:val="002805E1"/>
    <w:rsid w:val="00290C3B"/>
    <w:rsid w:val="003B33FB"/>
    <w:rsid w:val="00414987"/>
    <w:rsid w:val="004823AE"/>
    <w:rsid w:val="004A1B7D"/>
    <w:rsid w:val="004D1AA7"/>
    <w:rsid w:val="005765C7"/>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573A5"/>
    <w:rsid w:val="00EF6C3B"/>
    <w:rsid w:val="00F30AAE"/>
    <w:rsid w:val="00F6116F"/>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Anna Bocian</cp:lastModifiedBy>
  <cp:revision>45</cp:revision>
  <dcterms:created xsi:type="dcterms:W3CDTF">2023-05-12T11:15:00Z</dcterms:created>
  <dcterms:modified xsi:type="dcterms:W3CDTF">2023-05-22T10:00:00Z</dcterms:modified>
</cp:coreProperties>
</file>