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F38F" w14:textId="77777777" w:rsidR="001740A5" w:rsidRDefault="001740A5" w:rsidP="001740A5">
      <w:pPr>
        <w:spacing w:line="23" w:lineRule="atLeast"/>
        <w:rPr>
          <w:sz w:val="18"/>
          <w:szCs w:val="18"/>
        </w:rPr>
      </w:pPr>
      <w:r>
        <w:rPr>
          <w:sz w:val="18"/>
          <w:szCs w:val="18"/>
        </w:rPr>
        <w:t xml:space="preserve">Druk Nr </w:t>
      </w:r>
      <w:r w:rsidR="00402D20">
        <w:rPr>
          <w:sz w:val="18"/>
          <w:szCs w:val="18"/>
        </w:rPr>
        <w:t>94</w:t>
      </w:r>
      <w:r>
        <w:rPr>
          <w:sz w:val="18"/>
          <w:szCs w:val="18"/>
        </w:rPr>
        <w:t>/23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Projekt Zarządu Województwa </w:t>
      </w:r>
    </w:p>
    <w:p w14:paraId="52CEB201" w14:textId="77777777" w:rsidR="001740A5" w:rsidRDefault="001740A5" w:rsidP="001740A5">
      <w:pPr>
        <w:spacing w:line="23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Kujawsko-Pomorskiego</w:t>
      </w:r>
    </w:p>
    <w:p w14:paraId="5E8FB045" w14:textId="77777777" w:rsidR="001740A5" w:rsidRDefault="001740A5" w:rsidP="001740A5">
      <w:pPr>
        <w:spacing w:line="23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</w:t>
      </w:r>
      <w:r w:rsidR="00402D20">
        <w:rPr>
          <w:sz w:val="18"/>
          <w:szCs w:val="18"/>
        </w:rPr>
        <w:t xml:space="preserve">21 czerwca </w:t>
      </w:r>
      <w:r>
        <w:rPr>
          <w:sz w:val="18"/>
          <w:szCs w:val="18"/>
        </w:rPr>
        <w:t>2023 r.</w:t>
      </w:r>
    </w:p>
    <w:p w14:paraId="496A3416" w14:textId="77777777" w:rsidR="001740A5" w:rsidRPr="00FC3BCD" w:rsidRDefault="001740A5" w:rsidP="001740A5">
      <w:pPr>
        <w:spacing w:line="23" w:lineRule="atLeast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A5D14D9" w14:textId="77777777" w:rsidR="001740A5" w:rsidRDefault="001740A5" w:rsidP="00FC3BCD">
      <w:pPr>
        <w:jc w:val="center"/>
        <w:rPr>
          <w:b/>
        </w:rPr>
      </w:pPr>
      <w:r>
        <w:rPr>
          <w:b/>
        </w:rPr>
        <w:t>UCHWAŁA NR ……….…/………...../23</w:t>
      </w:r>
    </w:p>
    <w:p w14:paraId="2FF58F0B" w14:textId="77777777" w:rsidR="001740A5" w:rsidRDefault="001740A5" w:rsidP="00FC3BCD">
      <w:pPr>
        <w:jc w:val="center"/>
        <w:rPr>
          <w:b/>
        </w:rPr>
      </w:pPr>
      <w:r>
        <w:rPr>
          <w:b/>
        </w:rPr>
        <w:t>SEJMIKU WOJEWÓDZTWA KUJAWSKO-POMORSKIEGO</w:t>
      </w:r>
    </w:p>
    <w:p w14:paraId="7A7D5409" w14:textId="77777777" w:rsidR="001740A5" w:rsidRDefault="001740A5" w:rsidP="00FC3BCD">
      <w:pPr>
        <w:tabs>
          <w:tab w:val="left" w:pos="709"/>
        </w:tabs>
        <w:jc w:val="center"/>
        <w:rPr>
          <w:b/>
        </w:rPr>
      </w:pPr>
      <w:r>
        <w:rPr>
          <w:b/>
        </w:rPr>
        <w:t>z dnia …………………….. 2023 r.</w:t>
      </w:r>
    </w:p>
    <w:p w14:paraId="350DE291" w14:textId="77777777" w:rsidR="001740A5" w:rsidRDefault="001740A5" w:rsidP="00FC3BCD">
      <w:pPr>
        <w:tabs>
          <w:tab w:val="left" w:pos="709"/>
        </w:tabs>
        <w:jc w:val="center"/>
        <w:rPr>
          <w:b/>
        </w:rPr>
      </w:pPr>
    </w:p>
    <w:p w14:paraId="70B9B3E8" w14:textId="77777777" w:rsidR="001740A5" w:rsidRDefault="001740A5" w:rsidP="00FC3BCD">
      <w:pPr>
        <w:shd w:val="clear" w:color="auto" w:fill="FFFFFF"/>
        <w:tabs>
          <w:tab w:val="left" w:pos="709"/>
        </w:tabs>
        <w:jc w:val="both"/>
      </w:pPr>
      <w:r>
        <w:rPr>
          <w:b/>
        </w:rPr>
        <w:t xml:space="preserve">w sprawie Regulaminu określającego wysokość i szczegółowe warunki przyznawania nauczycielom niektórych dodatków, szczegółowe warunki obliczania i wypłacania wynagrodzenia za godziny ponadwymiarowe oraz za godziny doraźnych zastępstw </w:t>
      </w:r>
    </w:p>
    <w:p w14:paraId="1F37C651" w14:textId="77777777" w:rsidR="001740A5" w:rsidRDefault="001740A5" w:rsidP="00FC3BCD">
      <w:pPr>
        <w:shd w:val="clear" w:color="auto" w:fill="FFFFFF"/>
        <w:tabs>
          <w:tab w:val="left" w:pos="709"/>
        </w:tabs>
        <w:jc w:val="both"/>
        <w:rPr>
          <w:b/>
        </w:rPr>
      </w:pPr>
    </w:p>
    <w:p w14:paraId="39BFCECB" w14:textId="77777777" w:rsidR="001740A5" w:rsidRDefault="00FC3BCD" w:rsidP="00FC3BCD">
      <w:pPr>
        <w:pStyle w:val="Akapitzlist"/>
        <w:tabs>
          <w:tab w:val="left" w:pos="709"/>
        </w:tabs>
        <w:ind w:left="0"/>
        <w:jc w:val="both"/>
      </w:pPr>
      <w:r>
        <w:tab/>
      </w:r>
      <w:r w:rsidR="001740A5">
        <w:t xml:space="preserve">Na podstawie art. 30 ust. 6, 6a, art. 91d pkt 1 ustawy z dnia 26 stycznia 1982 r. Karta Nauczyciela </w:t>
      </w:r>
      <w:r w:rsidR="001740A5" w:rsidRPr="00D9642A">
        <w:rPr>
          <w:shd w:val="clear" w:color="auto" w:fill="FFFFFF"/>
        </w:rPr>
        <w:t>(Dz. U. z 2023 r. poz. 984)</w:t>
      </w:r>
      <w:r w:rsidR="001740A5" w:rsidRPr="00D9642A">
        <w:t>,</w:t>
      </w:r>
      <w:r w:rsidR="001740A5" w:rsidRPr="00E21A44">
        <w:t xml:space="preserve"> </w:t>
      </w:r>
      <w:r w:rsidR="001740A5">
        <w:t xml:space="preserve">w związku z przepisami rozporządzenia Ministra Edukacji Narodowej i Sportu z dnia 31 stycznia 2005 r. w sprawie wysokości minimalnych stawek wynagrodzenia zasadniczego nauczycieli, ogólnych warunków przyznawania dodatków </w:t>
      </w:r>
      <w:r w:rsidR="001740A5">
        <w:br/>
        <w:t xml:space="preserve">do wynagrodzenia zasadniczego oraz wynagradzania za pracę w dniu wolnym od pracy </w:t>
      </w:r>
      <w:r w:rsidR="001740A5">
        <w:br/>
        <w:t>(Dz. U. z 2014 r. poz. 416</w:t>
      </w:r>
      <w:r>
        <w:t>,</w:t>
      </w:r>
      <w:r w:rsidR="001740A5">
        <w:t xml:space="preserve"> z </w:t>
      </w:r>
      <w:proofErr w:type="spellStart"/>
      <w:r w:rsidR="001740A5">
        <w:t>późn</w:t>
      </w:r>
      <w:proofErr w:type="spellEnd"/>
      <w:r w:rsidR="001740A5">
        <w:t>. zm.</w:t>
      </w:r>
      <w:r w:rsidR="001740A5">
        <w:rPr>
          <w:rStyle w:val="Odwoanieprzypisudolnego"/>
        </w:rPr>
        <w:footnoteReference w:id="1"/>
      </w:r>
      <w:r w:rsidR="001740A5" w:rsidRPr="00A15646">
        <w:t xml:space="preserve">), </w:t>
      </w:r>
      <w:r w:rsidR="001740A5">
        <w:t>uchwala się, co następuje:</w:t>
      </w:r>
    </w:p>
    <w:p w14:paraId="0E6D1286" w14:textId="77777777" w:rsidR="001740A5" w:rsidRDefault="001740A5" w:rsidP="00FC3BCD">
      <w:pPr>
        <w:pStyle w:val="Akapitzlist"/>
        <w:jc w:val="both"/>
      </w:pPr>
      <w:r>
        <w:t xml:space="preserve"> </w:t>
      </w:r>
    </w:p>
    <w:p w14:paraId="096C4AD1" w14:textId="77777777" w:rsidR="001740A5" w:rsidRDefault="001740A5" w:rsidP="00FC3BCD">
      <w:pPr>
        <w:numPr>
          <w:ilvl w:val="0"/>
          <w:numId w:val="4"/>
        </w:numPr>
        <w:tabs>
          <w:tab w:val="left" w:pos="1134"/>
          <w:tab w:val="left" w:pos="1276"/>
        </w:tabs>
        <w:suppressAutoHyphens w:val="0"/>
        <w:autoSpaceDN/>
        <w:ind w:left="0" w:firstLine="709"/>
        <w:jc w:val="both"/>
        <w:textAlignment w:val="auto"/>
      </w:pPr>
      <w:r>
        <w:t xml:space="preserve">Przyjmuje się „Regulamin określający wysokość i szczegółowe warunki przyznawania nauczycielom niektórych dodatków, szczegółowe warunki obliczania </w:t>
      </w:r>
      <w:r w:rsidR="00FC3BCD">
        <w:br/>
      </w:r>
      <w:r>
        <w:t>i wypłacania wynagrodzenia za godziny ponadwymiarowe oraz za godziny doraźnych zastępstw”, stanowiący załącznik do niniejszej uchwały.</w:t>
      </w:r>
    </w:p>
    <w:p w14:paraId="1A7EE6E1" w14:textId="77777777" w:rsidR="001740A5" w:rsidRDefault="001740A5" w:rsidP="00FC3BCD">
      <w:pPr>
        <w:pStyle w:val="Akapitzlist"/>
        <w:ind w:left="0"/>
        <w:jc w:val="both"/>
      </w:pPr>
    </w:p>
    <w:p w14:paraId="116C0D00" w14:textId="77777777" w:rsidR="001740A5" w:rsidRDefault="001740A5" w:rsidP="00FC3BCD">
      <w:pPr>
        <w:numPr>
          <w:ilvl w:val="0"/>
          <w:numId w:val="4"/>
        </w:numPr>
        <w:tabs>
          <w:tab w:val="left" w:pos="1134"/>
          <w:tab w:val="left" w:pos="1276"/>
        </w:tabs>
        <w:suppressAutoHyphens w:val="0"/>
        <w:autoSpaceDN/>
        <w:ind w:left="0" w:firstLine="709"/>
        <w:jc w:val="both"/>
        <w:textAlignment w:val="auto"/>
      </w:pPr>
      <w:r>
        <w:t>Wykonanie uchwały powierza się Zarządowi Województwa Kujawsko-Pomorskiego.</w:t>
      </w:r>
    </w:p>
    <w:p w14:paraId="793B6282" w14:textId="77777777" w:rsidR="001740A5" w:rsidRDefault="001740A5" w:rsidP="00FC3BCD">
      <w:pPr>
        <w:pStyle w:val="Akapitzlist"/>
        <w:ind w:left="0"/>
        <w:jc w:val="both"/>
      </w:pPr>
    </w:p>
    <w:p w14:paraId="763F0731" w14:textId="77777777" w:rsidR="001740A5" w:rsidRPr="00FA5B85" w:rsidRDefault="001740A5" w:rsidP="00FC3BCD">
      <w:pPr>
        <w:numPr>
          <w:ilvl w:val="0"/>
          <w:numId w:val="4"/>
        </w:numPr>
        <w:tabs>
          <w:tab w:val="left" w:pos="1134"/>
          <w:tab w:val="left" w:pos="1276"/>
        </w:tabs>
        <w:suppressAutoHyphens w:val="0"/>
        <w:autoSpaceDN/>
        <w:ind w:left="0" w:firstLine="709"/>
        <w:jc w:val="both"/>
        <w:textAlignment w:val="auto"/>
      </w:pPr>
      <w:r w:rsidRPr="00FA5B85">
        <w:t>Traci moc uchwała Nr  XX/359/12</w:t>
      </w:r>
      <w:r w:rsidRPr="00FA5B85">
        <w:rPr>
          <w:i/>
          <w:iCs/>
        </w:rPr>
        <w:t xml:space="preserve"> </w:t>
      </w:r>
      <w:r w:rsidRPr="00FA5B85">
        <w:t xml:space="preserve">Sejmiku Województwa Kujawsko-Pomorskiego z dnia 23 kwietnia 2012 r. w sprawie regulaminu określającego wysokość i szczegółowe warunki przyznawania nauczycielom dodatków: za wysługę lat, motywacyjnego, funkcyjnego </w:t>
      </w:r>
      <w:r>
        <w:br/>
      </w:r>
      <w:r w:rsidRPr="00FA5B85">
        <w:t xml:space="preserve">i za warunki pracy, szczegółowy sposób obliczania wynagradzania za godziny </w:t>
      </w:r>
      <w:r>
        <w:br/>
      </w:r>
      <w:r w:rsidRPr="00FA5B85">
        <w:t xml:space="preserve">ponadwymiarowe i za godziny doraźnych zastępstw oraz innych świadczeń wynikających </w:t>
      </w:r>
      <w:r>
        <w:br/>
      </w:r>
      <w:r w:rsidRPr="00FA5B85">
        <w:t>ze stosunku pracy (Dz. Urz. Województwa Kujawsko</w:t>
      </w:r>
      <w:r>
        <w:t>-</w:t>
      </w:r>
      <w:r w:rsidRPr="00FA5B85">
        <w:t>Pomorskiego poz. 1170).</w:t>
      </w:r>
    </w:p>
    <w:p w14:paraId="6B03C747" w14:textId="77777777" w:rsidR="001740A5" w:rsidRDefault="001740A5" w:rsidP="00FC3BCD">
      <w:pPr>
        <w:pStyle w:val="Akapitzlist"/>
        <w:ind w:left="0"/>
        <w:jc w:val="both"/>
      </w:pPr>
    </w:p>
    <w:p w14:paraId="0B00DEF7" w14:textId="77777777" w:rsidR="001740A5" w:rsidRPr="00EE716B" w:rsidRDefault="001740A5" w:rsidP="00FC3BCD">
      <w:pPr>
        <w:numPr>
          <w:ilvl w:val="0"/>
          <w:numId w:val="4"/>
        </w:numPr>
        <w:tabs>
          <w:tab w:val="left" w:pos="1134"/>
          <w:tab w:val="left" w:pos="1276"/>
        </w:tabs>
        <w:suppressAutoHyphens w:val="0"/>
        <w:autoSpaceDN/>
        <w:ind w:left="0" w:firstLine="709"/>
        <w:jc w:val="both"/>
        <w:textAlignment w:val="auto"/>
      </w:pPr>
      <w:r w:rsidRPr="00761718">
        <w:t xml:space="preserve">Uchwała </w:t>
      </w:r>
      <w:r>
        <w:t xml:space="preserve">podlega </w:t>
      </w:r>
      <w:r w:rsidRPr="00761718">
        <w:t>ogłoszeni</w:t>
      </w:r>
      <w:r>
        <w:t>u</w:t>
      </w:r>
      <w:r w:rsidRPr="00761718">
        <w:t xml:space="preserve"> w Dzienniku Urzędowym Województwa Kujawsko</w:t>
      </w:r>
      <w:r>
        <w:t>-</w:t>
      </w:r>
      <w:r w:rsidRPr="00761718">
        <w:t>Pomorskiego</w:t>
      </w:r>
      <w:r>
        <w:t xml:space="preserve"> i wchodzi w życie z dniem </w:t>
      </w:r>
      <w:r w:rsidRPr="00761718">
        <w:t xml:space="preserve">1 </w:t>
      </w:r>
      <w:r w:rsidR="00694A16">
        <w:t xml:space="preserve">stycznia </w:t>
      </w:r>
      <w:r w:rsidRPr="00761718">
        <w:t>2023 r.</w:t>
      </w:r>
      <w:r w:rsidR="00FC3BCD">
        <w:t xml:space="preserve">, </w:t>
      </w:r>
      <w:r>
        <w:t xml:space="preserve">za wyjątkiem </w:t>
      </w:r>
      <w:r>
        <w:rPr>
          <w:color w:val="000000" w:themeColor="text1"/>
        </w:rPr>
        <w:t>§ 7 ust. 7 l.p. 11 Regulaminu, który wchodzi w życie z mocą od dnia 1 września 2022</w:t>
      </w:r>
      <w:r w:rsidR="00FC3BCD">
        <w:rPr>
          <w:color w:val="000000" w:themeColor="text1"/>
        </w:rPr>
        <w:t xml:space="preserve"> </w:t>
      </w:r>
      <w:r>
        <w:rPr>
          <w:color w:val="000000" w:themeColor="text1"/>
        </w:rPr>
        <w:t>r.</w:t>
      </w:r>
    </w:p>
    <w:p w14:paraId="7B6232BE" w14:textId="77777777" w:rsidR="00EE716B" w:rsidRDefault="00EE716B" w:rsidP="00EE716B">
      <w:pPr>
        <w:pStyle w:val="Akapitzlist"/>
      </w:pPr>
    </w:p>
    <w:p w14:paraId="12C06EAA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4A99226D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4774D16B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07B2B9B9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7CACD4EB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493E6839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4A6FF513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2B6CF68A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014DF8E5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162DC642" w14:textId="77777777" w:rsidR="00EE716B" w:rsidRDefault="00EE716B" w:rsidP="00EE716B">
      <w:pPr>
        <w:tabs>
          <w:tab w:val="left" w:pos="1134"/>
          <w:tab w:val="left" w:pos="1276"/>
        </w:tabs>
        <w:suppressAutoHyphens w:val="0"/>
        <w:autoSpaceDN/>
        <w:jc w:val="both"/>
        <w:textAlignment w:val="auto"/>
      </w:pPr>
    </w:p>
    <w:p w14:paraId="3193FA30" w14:textId="77777777" w:rsidR="00EE716B" w:rsidRDefault="00EE716B" w:rsidP="00EE716B">
      <w:pPr>
        <w:jc w:val="center"/>
        <w:rPr>
          <w:b/>
        </w:rPr>
      </w:pPr>
      <w:r>
        <w:rPr>
          <w:b/>
        </w:rPr>
        <w:lastRenderedPageBreak/>
        <w:t>UZASADNIENIE</w:t>
      </w:r>
    </w:p>
    <w:p w14:paraId="14F1CEBE" w14:textId="77777777" w:rsidR="00EE716B" w:rsidRDefault="00EE716B" w:rsidP="00EE716B">
      <w:pPr>
        <w:pStyle w:val="Tekstpodstawowy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14:paraId="1B95178E" w14:textId="330B1FFE" w:rsidR="00EE716B" w:rsidRDefault="00AF59B5" w:rsidP="00EE716B">
      <w:pPr>
        <w:shd w:val="clear" w:color="auto" w:fill="FFFFFF"/>
        <w:tabs>
          <w:tab w:val="left" w:pos="709"/>
        </w:tabs>
        <w:ind w:left="284"/>
        <w:jc w:val="both"/>
      </w:pPr>
      <w:r>
        <w:tab/>
      </w:r>
      <w:r w:rsidR="00EE716B">
        <w:t xml:space="preserve">Przedmiotem regulacji jest przyjęcie Regulaminu określającego wysokość i szczegółowe warunki przyznawania nauczycielom niektórych dodatków, szczegółowe warunki obliczania i wypłacania wynagrodzenia za godziny ponadwymiarowe oraz za godziny doraźnych zastępstw. </w:t>
      </w:r>
    </w:p>
    <w:p w14:paraId="41B575D5" w14:textId="1EEC91D0" w:rsidR="00EE716B" w:rsidRPr="00AF59B5" w:rsidRDefault="00EE716B" w:rsidP="00AF59B5">
      <w:pPr>
        <w:pStyle w:val="Akapitzlist"/>
        <w:numPr>
          <w:ilvl w:val="0"/>
          <w:numId w:val="1"/>
        </w:numPr>
        <w:autoSpaceDE w:val="0"/>
        <w:rPr>
          <w:b/>
          <w:bCs/>
        </w:rPr>
      </w:pPr>
      <w:r w:rsidRPr="00AF59B5">
        <w:rPr>
          <w:b/>
          <w:bCs/>
        </w:rPr>
        <w:t xml:space="preserve">Omówienie podstawy prawnej:  </w:t>
      </w:r>
    </w:p>
    <w:p w14:paraId="69763EA6" w14:textId="77777777" w:rsidR="00EE716B" w:rsidRDefault="00EE716B" w:rsidP="00AF59B5">
      <w:pPr>
        <w:pStyle w:val="ust"/>
        <w:ind w:left="284" w:firstLine="7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30 ust. 6, 6a ustawy z dnia 26 stycznia 1982 r. Karta Nauczyciela </w:t>
      </w:r>
      <w:r w:rsidRPr="00D96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(Dz. U. z 2023 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9642A">
        <w:rPr>
          <w:rFonts w:ascii="Times New Roman" w:hAnsi="Times New Roman" w:cs="Times New Roman"/>
          <w:sz w:val="24"/>
          <w:szCs w:val="24"/>
          <w:shd w:val="clear" w:color="auto" w:fill="FFFFFF"/>
        </w:rPr>
        <w:t>poz. 984</w:t>
      </w:r>
      <w:r w:rsidRPr="00D9642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stanowią, że: „6. Organ prowadzący </w:t>
      </w:r>
      <w:hyperlink r:id="rId7" w:anchor="P2A6" w:history="1"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szkołę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będący jednostką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samorządu terytorialnego, uwzględniając przewidywaną strukturę zatrudnienia, określa dla </w:t>
      </w:r>
      <w:hyperlink r:id="rId8" w:anchor="P2A6" w:history="1">
        <w:r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</w:rPr>
          <w:t>nauczycieli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poszczególnych stopni awansu zawodowego, w drodze regulaminu: </w:t>
      </w:r>
    </w:p>
    <w:p w14:paraId="784E5113" w14:textId="77777777" w:rsidR="00EE716B" w:rsidRDefault="00EE716B" w:rsidP="00EE716B">
      <w:pPr>
        <w:ind w:left="284"/>
        <w:jc w:val="both"/>
      </w:pPr>
      <w:r>
        <w:rPr>
          <w:color w:val="000000"/>
        </w:rPr>
        <w:t xml:space="preserve">1) wysokość stawek dodatków, o których mowa w ust. 1 pkt 2, oraz szczegółowe warunki przyznawania tych dodatków, z zastrzeżeniem </w:t>
      </w:r>
      <w:hyperlink r:id="rId9" w:anchor="P2A52" w:history="1">
        <w:r>
          <w:rPr>
            <w:rStyle w:val="Hipercze"/>
            <w:color w:val="000000"/>
            <w:u w:val="none"/>
          </w:rPr>
          <w:t>art. 33</w:t>
        </w:r>
      </w:hyperlink>
      <w:r>
        <w:rPr>
          <w:color w:val="000000"/>
        </w:rPr>
        <w:t xml:space="preserve">-34a, </w:t>
      </w:r>
    </w:p>
    <w:p w14:paraId="6F893FE2" w14:textId="77777777" w:rsidR="00EE716B" w:rsidRDefault="00EE716B" w:rsidP="00EE716B">
      <w:pPr>
        <w:ind w:left="284"/>
        <w:jc w:val="both"/>
      </w:pPr>
      <w:r>
        <w:rPr>
          <w:color w:val="000000"/>
        </w:rPr>
        <w:t xml:space="preserve">2) szczegółowe warunki obliczania i wypłacania wynagrodzenia za godziny ponadwymiarowe i godziny doraźnych zastępstw, z zastrzeżeniem </w:t>
      </w:r>
      <w:hyperlink r:id="rId10" w:anchor="P2A54" w:history="1">
        <w:r>
          <w:rPr>
            <w:rStyle w:val="Hipercze"/>
            <w:color w:val="000000"/>
            <w:u w:val="none"/>
          </w:rPr>
          <w:t>art. 35</w:t>
        </w:r>
      </w:hyperlink>
      <w:r>
        <w:rPr>
          <w:color w:val="000000"/>
        </w:rPr>
        <w:t xml:space="preserve"> ust. 3,</w:t>
      </w:r>
    </w:p>
    <w:p w14:paraId="7F64B636" w14:textId="77777777" w:rsidR="00EE716B" w:rsidRDefault="00EE716B" w:rsidP="00EE716B">
      <w:pPr>
        <w:ind w:left="284"/>
        <w:jc w:val="both"/>
      </w:pPr>
      <w:r>
        <w:rPr>
          <w:color w:val="000000"/>
        </w:rPr>
        <w:t xml:space="preserve">3) wysokość i warunki wypłacania składników wynagrodzenia, o których mowa w ust. 1 </w:t>
      </w:r>
      <w:r>
        <w:rPr>
          <w:color w:val="000000"/>
        </w:rPr>
        <w:br/>
        <w:t xml:space="preserve">pkt 4, o ile nie zostały one określone w ustawie lub w odrębnych przepisach- w taki sposób, aby średnie wynagrodzenia </w:t>
      </w:r>
      <w:hyperlink r:id="rId11" w:anchor="P2A6" w:history="1">
        <w:r>
          <w:rPr>
            <w:rStyle w:val="Hipercze"/>
            <w:color w:val="000000"/>
            <w:u w:val="none"/>
          </w:rPr>
          <w:t>nauczycieli</w:t>
        </w:r>
      </w:hyperlink>
      <w:r>
        <w:rPr>
          <w:color w:val="000000"/>
        </w:rPr>
        <w:t xml:space="preserve">, składające się ze składników, o których mowa </w:t>
      </w:r>
      <w:r>
        <w:rPr>
          <w:color w:val="000000"/>
        </w:rPr>
        <w:br/>
        <w:t xml:space="preserve">w ust. 1, odpowiadały na obszarze działania danej jednostki samorządu terytorialnego </w:t>
      </w:r>
      <w:r>
        <w:rPr>
          <w:color w:val="000000"/>
        </w:rPr>
        <w:br/>
        <w:t xml:space="preserve">co najmniej średnim wynagrodzeniom </w:t>
      </w:r>
      <w:hyperlink r:id="rId12" w:anchor="P2A6" w:history="1">
        <w:r>
          <w:rPr>
            <w:rStyle w:val="Hipercze"/>
            <w:color w:val="000000"/>
            <w:u w:val="none"/>
          </w:rPr>
          <w:t>nauczycieli</w:t>
        </w:r>
      </w:hyperlink>
      <w:r>
        <w:rPr>
          <w:color w:val="000000"/>
        </w:rPr>
        <w:t xml:space="preserve">, o których mowa w ust. 3. </w:t>
      </w:r>
    </w:p>
    <w:p w14:paraId="55AF3239" w14:textId="77777777" w:rsidR="00EE716B" w:rsidRDefault="00EE716B" w:rsidP="00EE716B">
      <w:pPr>
        <w:ind w:left="240"/>
        <w:jc w:val="both"/>
      </w:pPr>
      <w:r>
        <w:rPr>
          <w:color w:val="000000"/>
        </w:rPr>
        <w:t xml:space="preserve">6a. Regulamin podlega uzgodnieniu ze </w:t>
      </w:r>
      <w:hyperlink r:id="rId13" w:anchor="P2A6" w:history="1">
        <w:r>
          <w:rPr>
            <w:rStyle w:val="Hipercze"/>
            <w:color w:val="000000"/>
            <w:u w:val="none"/>
          </w:rPr>
          <w:t>związkami zawodowymi</w:t>
        </w:r>
      </w:hyperlink>
      <w:r>
        <w:rPr>
          <w:color w:val="000000"/>
        </w:rPr>
        <w:t xml:space="preserve"> zrzeszającymi    </w:t>
      </w:r>
      <w:hyperlink r:id="rId14" w:anchor="P2A6" w:history="1">
        <w:r>
          <w:rPr>
            <w:rStyle w:val="Hipercze"/>
            <w:color w:val="000000"/>
            <w:u w:val="none"/>
          </w:rPr>
          <w:t>nauczycieli</w:t>
        </w:r>
      </w:hyperlink>
      <w:r>
        <w:rPr>
          <w:color w:val="000000"/>
        </w:rPr>
        <w:t xml:space="preserve">.”. </w:t>
      </w:r>
    </w:p>
    <w:p w14:paraId="3D26913E" w14:textId="77777777" w:rsidR="00EE716B" w:rsidRDefault="00EE716B" w:rsidP="00EE716B">
      <w:pPr>
        <w:pStyle w:val="Akapitzlist"/>
        <w:autoSpaceDE w:val="0"/>
        <w:ind w:left="0"/>
        <w:jc w:val="both"/>
      </w:pPr>
      <w:r>
        <w:rPr>
          <w:b/>
        </w:rPr>
        <w:t xml:space="preserve">    3. Konsultacje wymagane przepisami prawa (łącznie z przepisami wewnętrznymi):</w:t>
      </w:r>
      <w:r>
        <w:rPr>
          <w:rFonts w:eastAsia="Univers-PL"/>
          <w:lang w:eastAsia="en-US"/>
        </w:rPr>
        <w:br/>
      </w:r>
      <w:r>
        <w:t xml:space="preserve"> </w:t>
      </w:r>
    </w:p>
    <w:p w14:paraId="0B9EDDE1" w14:textId="77777777" w:rsidR="00EE716B" w:rsidRDefault="00EE716B" w:rsidP="00EE716B">
      <w:pPr>
        <w:autoSpaceDE w:val="0"/>
        <w:ind w:left="284"/>
        <w:jc w:val="both"/>
      </w:pPr>
      <w:r>
        <w:t>Zgodnie z art. 30 ust. 6a ustawy z dnia 26 stycznia 1982 r. Karta Nauczyciela, regulamin wynagradzania nauczycieli podlega uzgodnieniom ze związkami zawodowymi zrzeszającymi nauczycieli. Przyjęty przez Sejmik Województwa Kujawsko-Pomorskiego uchwałą Nr XLIV/602/22 z dnia 25 kwietnia 2022 r. projekt regulaminu został przekazany do uzgodnienia ze związkami zawodowymi zrzeszającymi nauczycieli, tj.: Związek Nauczycielstwa Polskiego Okręg Kujawsko-Pomorski, NSZZ „Solidarność” Region Bydgoski, NSZZ „Solidarność” Region Toruńsko-Włocławski, WZZ „Forum-Oświata”, Polski Związek Logopedów Oddział Kujawsko-Pomorski, NSZZ „Solidarność” – 80 Region Kujawsko-Pomorski.</w:t>
      </w:r>
    </w:p>
    <w:p w14:paraId="68B2B8DB" w14:textId="77777777" w:rsidR="00EE716B" w:rsidRPr="00B9492E" w:rsidRDefault="00EE716B" w:rsidP="00EE716B">
      <w:pPr>
        <w:autoSpaceDE w:val="0"/>
        <w:ind w:left="284"/>
        <w:jc w:val="both"/>
      </w:pPr>
      <w:r w:rsidRPr="00B9492E">
        <w:t>W wyniku negocjacji, strony uzgodniły treść regulaminu, za wyjątkiem kwestii określenia dodatku dla wychowawcy klasy oraz dla nauczyciela opiekującego się oddziałem przedszkolnym, gdzie nie osiągnięto porozumienia.</w:t>
      </w:r>
    </w:p>
    <w:p w14:paraId="2B6AABA3" w14:textId="77777777" w:rsidR="00EE716B" w:rsidRDefault="00EE716B" w:rsidP="00EE716B">
      <w:pPr>
        <w:autoSpaceDE w:val="0"/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>4. Uzasadnienie merytoryczne:</w:t>
      </w:r>
    </w:p>
    <w:p w14:paraId="36474C48" w14:textId="77777777" w:rsidR="00EE716B" w:rsidRDefault="00EE716B" w:rsidP="00EE716B">
      <w:pPr>
        <w:shd w:val="clear" w:color="auto" w:fill="FFFFFF"/>
        <w:tabs>
          <w:tab w:val="left" w:pos="709"/>
        </w:tabs>
        <w:ind w:left="284"/>
        <w:jc w:val="both"/>
      </w:pPr>
      <w:r>
        <w:rPr>
          <w:bCs/>
        </w:rPr>
        <w:t xml:space="preserve">Uchwałą Nr XLIV/602/22 Sejmik Województwa Kujawsko Pomorskiego w dniu </w:t>
      </w:r>
      <w:r>
        <w:rPr>
          <w:bCs/>
        </w:rPr>
        <w:br/>
        <w:t xml:space="preserve">25 kwietnia 2022 r. przyjął projekt </w:t>
      </w:r>
      <w:r w:rsidRPr="00472CDE">
        <w:rPr>
          <w:bCs/>
        </w:rPr>
        <w:t>Regulaminu określającego wysokość i szczegółowe warunki przyznawania nauczycielom niektórych dodatków, szczegółowe warunki obliczania i wypłacania wynagrodzenia za godziny ponadwymiarowe oraz za godziny doraźnych zastępstw</w:t>
      </w:r>
      <w:r>
        <w:t>.</w:t>
      </w:r>
      <w:r w:rsidRPr="00472CDE">
        <w:t xml:space="preserve"> </w:t>
      </w:r>
    </w:p>
    <w:p w14:paraId="6846253E" w14:textId="77777777" w:rsidR="00EE716B" w:rsidRPr="00162CF8" w:rsidRDefault="00EE716B" w:rsidP="00EE716B">
      <w:pPr>
        <w:autoSpaceDE w:val="0"/>
        <w:ind w:left="284"/>
        <w:jc w:val="both"/>
      </w:pPr>
      <w:r>
        <w:rPr>
          <w:color w:val="000000"/>
        </w:rPr>
        <w:t xml:space="preserve">Treść Regulaminu została uzgodniona ze </w:t>
      </w:r>
      <w:hyperlink r:id="rId15" w:anchor="P2A6" w:history="1">
        <w:r>
          <w:rPr>
            <w:rStyle w:val="Hipercze"/>
            <w:color w:val="000000"/>
            <w:u w:val="none"/>
          </w:rPr>
          <w:t>związkami zawodowymi</w:t>
        </w:r>
      </w:hyperlink>
      <w:r>
        <w:rPr>
          <w:color w:val="000000"/>
        </w:rPr>
        <w:t xml:space="preserve"> zrzeszającymi </w:t>
      </w:r>
      <w:hyperlink r:id="rId16" w:anchor="P2A6" w:history="1">
        <w:r>
          <w:rPr>
            <w:rStyle w:val="Hipercze"/>
            <w:color w:val="000000"/>
            <w:u w:val="none"/>
          </w:rPr>
          <w:t>nauczycieli</w:t>
        </w:r>
      </w:hyperlink>
      <w:r>
        <w:rPr>
          <w:rStyle w:val="Hipercze"/>
          <w:color w:val="000000"/>
          <w:u w:val="none"/>
        </w:rPr>
        <w:t xml:space="preserve">, </w:t>
      </w:r>
      <w:r w:rsidRPr="00162CF8">
        <w:t>za wyjątkiem określenia dodatku dla wychowawcy klasy oraz dla nauczyciela opiekującego się oddziałem przedszkolnym, gdzie nie osiągnięto porozumienia.</w:t>
      </w:r>
      <w:r>
        <w:t xml:space="preserve"> Stanowisko organizacji związkowych jest następujące: dodatek funkcyjny dla wychowawcy klasy </w:t>
      </w:r>
      <w:r>
        <w:br/>
        <w:t xml:space="preserve">i nauczyciela opiekującego się oddziałem przedszkolnym powinien zostać określony wartością procentową i strona związkowa nie zgadza się na zapis kwotowy, natomiast </w:t>
      </w:r>
      <w:r>
        <w:lastRenderedPageBreak/>
        <w:t xml:space="preserve">stanowisko Samorządu Województwa Kujawsko-Pomorskiego: ww. dodatek powinien zostać określony kwotowo, co zostało zawarte w protokole rozbieżności. </w:t>
      </w:r>
    </w:p>
    <w:p w14:paraId="660FB97A" w14:textId="77777777" w:rsidR="00EE716B" w:rsidRDefault="00EE716B" w:rsidP="00EE716B">
      <w:pPr>
        <w:autoSpaceDE w:val="0"/>
        <w:ind w:left="284"/>
        <w:jc w:val="both"/>
        <w:rPr>
          <w:rFonts w:cstheme="minorHAnsi"/>
        </w:rPr>
      </w:pPr>
      <w:r w:rsidRPr="0035149E">
        <w:t xml:space="preserve">Zgodnie z </w:t>
      </w:r>
      <w:r w:rsidRPr="001D7F50">
        <w:rPr>
          <w:rFonts w:cstheme="minorHAnsi"/>
        </w:rPr>
        <w:t xml:space="preserve">art. 34a  </w:t>
      </w:r>
      <w:r>
        <w:t xml:space="preserve">ustawy z dnia 26 stycznia 1982 r. Karta Nauczyciela, </w:t>
      </w:r>
      <w:r w:rsidRPr="001D7F50">
        <w:rPr>
          <w:rFonts w:cstheme="minorHAnsi"/>
        </w:rPr>
        <w:t>n</w:t>
      </w:r>
      <w:hyperlink r:id="rId17" w:anchor="P2A6" w:tgtFrame="ostatnia" w:history="1">
        <w:r w:rsidRPr="001D7F50">
          <w:rPr>
            <w:rFonts w:cstheme="minorHAnsi"/>
          </w:rPr>
          <w:t>auczycielowi</w:t>
        </w:r>
      </w:hyperlink>
      <w:r w:rsidRPr="001D7F50">
        <w:rPr>
          <w:rFonts w:cstheme="minorHAnsi"/>
        </w:rPr>
        <w:t>, któremu powierzono sprawowanie funkcji wychowawcy klasy, przysługuje dodatek funkcyjny z tytułu sprawowania funkcji wychowawcy klasy</w:t>
      </w:r>
      <w:r>
        <w:rPr>
          <w:rFonts w:cstheme="minorHAnsi"/>
        </w:rPr>
        <w:t xml:space="preserve">; jest on określony kwotowo, </w:t>
      </w:r>
      <w:r>
        <w:rPr>
          <w:rFonts w:cstheme="minorHAnsi"/>
        </w:rPr>
        <w:br/>
        <w:t>a m</w:t>
      </w:r>
      <w:r w:rsidRPr="001D7F50">
        <w:rPr>
          <w:rFonts w:cstheme="minorHAnsi"/>
        </w:rPr>
        <w:t>inimalna wysokość tego dodatku wynosi 300 zł.</w:t>
      </w:r>
    </w:p>
    <w:p w14:paraId="044B6420" w14:textId="77777777" w:rsidR="00EE716B" w:rsidRDefault="00EE716B" w:rsidP="00EE716B">
      <w:pPr>
        <w:autoSpaceDE w:val="0"/>
        <w:ind w:left="284"/>
        <w:jc w:val="both"/>
      </w:pPr>
      <w:r>
        <w:t>Na ostatnim spotkaniu dotyczącym uzgodnienia regulaminu nie był obecny przedstawiciel NSZZ „Solidarność” – 80, który został prawidłowo powiadomiony o terminie i miejscu spotkania oraz zapewnił o swojej obecności.</w:t>
      </w:r>
    </w:p>
    <w:p w14:paraId="5B4CDB31" w14:textId="77777777" w:rsidR="00EE716B" w:rsidRPr="0025000A" w:rsidRDefault="00EE716B" w:rsidP="00EE716B">
      <w:pPr>
        <w:pStyle w:val="Nagwek2"/>
        <w:ind w:left="284"/>
        <w:jc w:val="both"/>
        <w:rPr>
          <w:b w:val="0"/>
          <w:bCs w:val="0"/>
          <w:sz w:val="24"/>
          <w:szCs w:val="24"/>
        </w:rPr>
      </w:pPr>
      <w:r w:rsidRPr="0025000A">
        <w:rPr>
          <w:b w:val="0"/>
          <w:bCs w:val="0"/>
          <w:sz w:val="24"/>
          <w:szCs w:val="24"/>
        </w:rPr>
        <w:t xml:space="preserve">Zgodnie z art. 9ca ust. 11 Karty Nauczyciela, nauczycielowi odbywającemu przygotowanie    do zawodu nauczyciela dyrektor szkoły przydziela spośród nauczycieli mianowanych </w:t>
      </w:r>
      <w:r w:rsidRPr="0025000A">
        <w:rPr>
          <w:b w:val="0"/>
          <w:bCs w:val="0"/>
          <w:sz w:val="24"/>
          <w:szCs w:val="24"/>
        </w:rPr>
        <w:br/>
        <w:t xml:space="preserve">lub dyplomowanych mentora. Z § 5 pkt 2 lit. c rozporządzenia Ministra Edukacji Narodowej i Sportu z dnia 31 stycznia 2005 r. w sprawie wysokości minimalnych stawek wynagrodzenia zasadniczego nauczycieli, ogólnych warunków przyznawania dodatków </w:t>
      </w:r>
      <w:r w:rsidRPr="0025000A">
        <w:rPr>
          <w:b w:val="0"/>
          <w:bCs w:val="0"/>
          <w:sz w:val="24"/>
          <w:szCs w:val="24"/>
        </w:rPr>
        <w:br/>
        <w:t xml:space="preserve">do wynagrodzenia zasadniczego oraz wynagradzania za pracę w dniu wolnym od pracy </w:t>
      </w:r>
      <w:r w:rsidRPr="0025000A">
        <w:rPr>
          <w:b w:val="0"/>
          <w:bCs w:val="0"/>
          <w:sz w:val="24"/>
          <w:szCs w:val="24"/>
        </w:rPr>
        <w:br/>
        <w:t xml:space="preserve">( Dz. U. z 2014 r. poz. 416 z </w:t>
      </w:r>
      <w:proofErr w:type="spellStart"/>
      <w:r w:rsidRPr="0025000A">
        <w:rPr>
          <w:b w:val="0"/>
          <w:bCs w:val="0"/>
          <w:sz w:val="24"/>
          <w:szCs w:val="24"/>
        </w:rPr>
        <w:t>późn</w:t>
      </w:r>
      <w:proofErr w:type="spellEnd"/>
      <w:r w:rsidRPr="0025000A">
        <w:rPr>
          <w:b w:val="0"/>
          <w:bCs w:val="0"/>
          <w:sz w:val="24"/>
          <w:szCs w:val="24"/>
        </w:rPr>
        <w:t xml:space="preserve">. zm. ), który wszedł w życie z dniem 1 września 2022 r. wynika, że nauczyciel sprawujący funkcję mentora ma prawo do dodatku funkcyjnego. Ponieważ dotychczasowy regulamin nie zawierał regulacji dot. dodatku dla mentora, koniecznym było nadanie § 7 ust. 7 l.p. 11 Regulaminu mocy wstecznej – od 1 września 2022 r., co dopuszcza  art. 5 ustawy z dnia 20 lipca 2000 r. z dnia 20 lipca 2000 r. </w:t>
      </w:r>
      <w:r w:rsidRPr="0025000A">
        <w:rPr>
          <w:b w:val="0"/>
          <w:bCs w:val="0"/>
          <w:sz w:val="24"/>
          <w:szCs w:val="24"/>
        </w:rPr>
        <w:br/>
        <w:t>o ogłaszaniu aktów normatywnych i niektórych innych aktów prawnych ( Dz. U. z 2019 r. poz. 1461).</w:t>
      </w:r>
    </w:p>
    <w:p w14:paraId="2E81D027" w14:textId="77777777" w:rsidR="00EE716B" w:rsidRDefault="00EE716B" w:rsidP="00EE716B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ind w:left="426" w:firstLine="0"/>
        <w:jc w:val="both"/>
        <w:rPr>
          <w:b/>
        </w:rPr>
      </w:pPr>
      <w:r>
        <w:rPr>
          <w:b/>
        </w:rPr>
        <w:t>Ocena skutków regulacji:</w:t>
      </w:r>
    </w:p>
    <w:p w14:paraId="451B2A7B" w14:textId="77777777" w:rsidR="00EE716B" w:rsidRDefault="00EE716B" w:rsidP="00EE716B">
      <w:pPr>
        <w:pStyle w:val="Akapitzlist"/>
        <w:tabs>
          <w:tab w:val="left" w:pos="426"/>
        </w:tabs>
        <w:autoSpaceDE w:val="0"/>
        <w:ind w:left="426"/>
        <w:jc w:val="both"/>
        <w:rPr>
          <w:b/>
        </w:rPr>
      </w:pPr>
    </w:p>
    <w:p w14:paraId="3E398102" w14:textId="77777777" w:rsidR="00EE716B" w:rsidRDefault="00EE716B" w:rsidP="00EE716B">
      <w:pPr>
        <w:shd w:val="clear" w:color="auto" w:fill="FFFFFF"/>
        <w:tabs>
          <w:tab w:val="left" w:pos="709"/>
        </w:tabs>
        <w:ind w:left="284"/>
        <w:jc w:val="both"/>
      </w:pPr>
      <w:r>
        <w:rPr>
          <w:rStyle w:val="Hipercze"/>
          <w:color w:val="000000"/>
          <w:u w:val="none"/>
        </w:rPr>
        <w:t>Regulamin został z</w:t>
      </w:r>
      <w:r>
        <w:t xml:space="preserve">aktualizowany oraz dostosowany do obecnie obowiązującego prawa </w:t>
      </w:r>
    </w:p>
    <w:p w14:paraId="3F16F8C7" w14:textId="77777777" w:rsidR="00EE716B" w:rsidRDefault="00EE716B" w:rsidP="00EE716B">
      <w:pPr>
        <w:shd w:val="clear" w:color="auto" w:fill="FFFFFF"/>
        <w:tabs>
          <w:tab w:val="left" w:pos="709"/>
        </w:tabs>
        <w:ind w:left="284"/>
        <w:jc w:val="both"/>
      </w:pPr>
      <w:r>
        <w:t>w tym zakresie.</w:t>
      </w:r>
    </w:p>
    <w:sectPr w:rsidR="00EE716B" w:rsidSect="0051491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4128" w14:textId="77777777" w:rsidR="008641FB" w:rsidRDefault="008641FB" w:rsidP="001740A5">
      <w:r>
        <w:separator/>
      </w:r>
    </w:p>
  </w:endnote>
  <w:endnote w:type="continuationSeparator" w:id="0">
    <w:p w14:paraId="1F46AE65" w14:textId="77777777" w:rsidR="008641FB" w:rsidRDefault="008641FB" w:rsidP="0017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DF2D" w14:textId="77777777" w:rsidR="008641FB" w:rsidRDefault="008641FB" w:rsidP="001740A5">
      <w:r>
        <w:separator/>
      </w:r>
    </w:p>
  </w:footnote>
  <w:footnote w:type="continuationSeparator" w:id="0">
    <w:p w14:paraId="15481504" w14:textId="77777777" w:rsidR="008641FB" w:rsidRDefault="008641FB" w:rsidP="001740A5">
      <w:r>
        <w:continuationSeparator/>
      </w:r>
    </w:p>
  </w:footnote>
  <w:footnote w:id="1">
    <w:p w14:paraId="7DFF726F" w14:textId="77777777" w:rsidR="001740A5" w:rsidRPr="001973F5" w:rsidRDefault="001740A5" w:rsidP="00FC3BCD">
      <w:pPr>
        <w:pStyle w:val="Tekstprzypisudolnego"/>
        <w:jc w:val="both"/>
        <w:rPr>
          <w:sz w:val="18"/>
          <w:szCs w:val="18"/>
        </w:rPr>
      </w:pPr>
      <w:r w:rsidRPr="001973F5">
        <w:rPr>
          <w:rStyle w:val="Odwoanieprzypisudolnego"/>
          <w:sz w:val="18"/>
          <w:szCs w:val="18"/>
        </w:rPr>
        <w:footnoteRef/>
      </w:r>
      <w:r w:rsidRPr="001973F5">
        <w:rPr>
          <w:sz w:val="18"/>
          <w:szCs w:val="18"/>
        </w:rPr>
        <w:t xml:space="preserve"> Zmiany </w:t>
      </w:r>
      <w:r>
        <w:rPr>
          <w:sz w:val="18"/>
          <w:szCs w:val="18"/>
        </w:rPr>
        <w:t xml:space="preserve">tekstu jednolitego </w:t>
      </w:r>
      <w:r w:rsidRPr="001973F5">
        <w:rPr>
          <w:sz w:val="18"/>
          <w:szCs w:val="18"/>
        </w:rPr>
        <w:t>wymienione</w:t>
      </w:r>
      <w:r>
        <w:rPr>
          <w:sz w:val="18"/>
          <w:szCs w:val="18"/>
        </w:rPr>
        <w:t>go rozporządzenia</w:t>
      </w:r>
      <w:r w:rsidRPr="001973F5">
        <w:rPr>
          <w:sz w:val="18"/>
          <w:szCs w:val="18"/>
        </w:rPr>
        <w:t xml:space="preserve"> zostały ogłoszone w </w:t>
      </w:r>
      <w:r w:rsidRPr="001973F5">
        <w:rPr>
          <w:sz w:val="18"/>
          <w:szCs w:val="18"/>
          <w:shd w:val="clear" w:color="auto" w:fill="FFFFFF"/>
        </w:rPr>
        <w:t>Dz. U. z 2014 r. poz. </w:t>
      </w:r>
      <w:hyperlink r:id="rId1" w:tgtFrame="druga" w:history="1">
        <w:r w:rsidRPr="001973F5">
          <w:rPr>
            <w:sz w:val="18"/>
            <w:szCs w:val="18"/>
            <w:shd w:val="clear" w:color="auto" w:fill="FFFFFF"/>
          </w:rPr>
          <w:t>922</w:t>
        </w:r>
      </w:hyperlink>
      <w:r w:rsidRPr="001973F5">
        <w:rPr>
          <w:sz w:val="18"/>
          <w:szCs w:val="18"/>
          <w:shd w:val="clear" w:color="auto" w:fill="FFFFFF"/>
        </w:rPr>
        <w:t>, z 2015 r. poz. </w:t>
      </w:r>
      <w:hyperlink r:id="rId2" w:tgtFrame="druga" w:history="1">
        <w:r w:rsidRPr="001973F5">
          <w:rPr>
            <w:sz w:val="18"/>
            <w:szCs w:val="18"/>
            <w:shd w:val="clear" w:color="auto" w:fill="FFFFFF"/>
          </w:rPr>
          <w:t>868</w:t>
        </w:r>
      </w:hyperlink>
      <w:r w:rsidRPr="001973F5">
        <w:rPr>
          <w:sz w:val="18"/>
          <w:szCs w:val="18"/>
          <w:shd w:val="clear" w:color="auto" w:fill="FFFFFF"/>
        </w:rPr>
        <w:t>, z 2016 r. poz. </w:t>
      </w:r>
      <w:hyperlink r:id="rId3" w:tgtFrame="druga" w:history="1">
        <w:r w:rsidRPr="001973F5">
          <w:rPr>
            <w:sz w:val="18"/>
            <w:szCs w:val="18"/>
            <w:shd w:val="clear" w:color="auto" w:fill="FFFFFF"/>
          </w:rPr>
          <w:t>1029</w:t>
        </w:r>
      </w:hyperlink>
      <w:r w:rsidRPr="001973F5">
        <w:rPr>
          <w:sz w:val="18"/>
          <w:szCs w:val="18"/>
          <w:shd w:val="clear" w:color="auto" w:fill="FFFFFF"/>
        </w:rPr>
        <w:t>, z 2017 r. poz. </w:t>
      </w:r>
      <w:hyperlink r:id="rId4" w:tgtFrame="druga" w:history="1">
        <w:r w:rsidRPr="001973F5">
          <w:rPr>
            <w:sz w:val="18"/>
            <w:szCs w:val="18"/>
            <w:shd w:val="clear" w:color="auto" w:fill="FFFFFF"/>
          </w:rPr>
          <w:t>630</w:t>
        </w:r>
      </w:hyperlink>
      <w:r w:rsidRPr="001973F5">
        <w:rPr>
          <w:sz w:val="18"/>
          <w:szCs w:val="18"/>
          <w:shd w:val="clear" w:color="auto" w:fill="FFFFFF"/>
        </w:rPr>
        <w:t>, z 2018 r. poz. </w:t>
      </w:r>
      <w:hyperlink r:id="rId5" w:tgtFrame="druga" w:history="1">
        <w:r w:rsidRPr="001973F5">
          <w:rPr>
            <w:sz w:val="18"/>
            <w:szCs w:val="18"/>
            <w:shd w:val="clear" w:color="auto" w:fill="FFFFFF"/>
          </w:rPr>
          <w:t>638</w:t>
        </w:r>
      </w:hyperlink>
      <w:r w:rsidRPr="001973F5">
        <w:rPr>
          <w:sz w:val="18"/>
          <w:szCs w:val="18"/>
          <w:shd w:val="clear" w:color="auto" w:fill="FFFFFF"/>
        </w:rPr>
        <w:t>, z 2019 r. poz. </w:t>
      </w:r>
      <w:hyperlink r:id="rId6" w:tgtFrame="druga" w:history="1">
        <w:r w:rsidRPr="001973F5">
          <w:rPr>
            <w:sz w:val="18"/>
            <w:szCs w:val="18"/>
            <w:shd w:val="clear" w:color="auto" w:fill="FFFFFF"/>
          </w:rPr>
          <w:t>249</w:t>
        </w:r>
      </w:hyperlink>
      <w:r w:rsidRPr="001973F5">
        <w:rPr>
          <w:sz w:val="18"/>
          <w:szCs w:val="18"/>
          <w:shd w:val="clear" w:color="auto" w:fill="FFFFFF"/>
        </w:rPr>
        <w:t>, </w:t>
      </w:r>
      <w:hyperlink r:id="rId7" w:tgtFrame="druga" w:history="1">
        <w:r w:rsidRPr="001973F5">
          <w:rPr>
            <w:sz w:val="18"/>
            <w:szCs w:val="18"/>
            <w:shd w:val="clear" w:color="auto" w:fill="FFFFFF"/>
          </w:rPr>
          <w:t>1587</w:t>
        </w:r>
      </w:hyperlink>
      <w:r w:rsidRPr="001973F5">
        <w:rPr>
          <w:sz w:val="18"/>
          <w:szCs w:val="18"/>
          <w:shd w:val="clear" w:color="auto" w:fill="FFFFFF"/>
        </w:rPr>
        <w:t> i </w:t>
      </w:r>
      <w:hyperlink r:id="rId8" w:tgtFrame="druga" w:history="1">
        <w:r w:rsidRPr="001973F5">
          <w:rPr>
            <w:sz w:val="18"/>
            <w:szCs w:val="18"/>
            <w:shd w:val="clear" w:color="auto" w:fill="FFFFFF"/>
          </w:rPr>
          <w:t>2441</w:t>
        </w:r>
      </w:hyperlink>
      <w:r w:rsidRPr="001973F5">
        <w:rPr>
          <w:sz w:val="18"/>
          <w:szCs w:val="18"/>
          <w:shd w:val="clear" w:color="auto" w:fill="FFFFFF"/>
        </w:rPr>
        <w:t>, z 2020 r. poz. </w:t>
      </w:r>
      <w:hyperlink r:id="rId9" w:tgtFrame="druga" w:history="1">
        <w:r w:rsidRPr="001973F5">
          <w:rPr>
            <w:sz w:val="18"/>
            <w:szCs w:val="18"/>
            <w:shd w:val="clear" w:color="auto" w:fill="FFFFFF"/>
          </w:rPr>
          <w:t>1491</w:t>
        </w:r>
      </w:hyperlink>
      <w:r w:rsidRPr="001973F5">
        <w:rPr>
          <w:sz w:val="18"/>
          <w:szCs w:val="18"/>
          <w:shd w:val="clear" w:color="auto" w:fill="FFFFFF"/>
        </w:rPr>
        <w:t>, z 2021 r. poz. </w:t>
      </w:r>
      <w:hyperlink r:id="rId10" w:tgtFrame="druga" w:history="1">
        <w:r w:rsidRPr="001973F5">
          <w:rPr>
            <w:sz w:val="18"/>
            <w:szCs w:val="18"/>
            <w:shd w:val="clear" w:color="auto" w:fill="FFFFFF"/>
          </w:rPr>
          <w:t>787</w:t>
        </w:r>
      </w:hyperlink>
      <w:r w:rsidRPr="001973F5">
        <w:rPr>
          <w:sz w:val="18"/>
          <w:szCs w:val="18"/>
          <w:shd w:val="clear" w:color="auto" w:fill="FFFFFF"/>
        </w:rPr>
        <w:t>, z 2022 r. poz. </w:t>
      </w:r>
      <w:hyperlink r:id="rId11" w:tgtFrame="druga" w:history="1">
        <w:r w:rsidRPr="001973F5">
          <w:rPr>
            <w:sz w:val="18"/>
            <w:szCs w:val="18"/>
            <w:shd w:val="clear" w:color="auto" w:fill="FFFFFF"/>
          </w:rPr>
          <w:t>1057</w:t>
        </w:r>
      </w:hyperlink>
      <w:r w:rsidRPr="001973F5">
        <w:rPr>
          <w:sz w:val="18"/>
          <w:szCs w:val="18"/>
          <w:shd w:val="clear" w:color="auto" w:fill="FFFFFF"/>
        </w:rPr>
        <w:t> i </w:t>
      </w:r>
      <w:hyperlink r:id="rId12" w:tgtFrame="druga" w:history="1">
        <w:r w:rsidRPr="001973F5">
          <w:rPr>
            <w:sz w:val="18"/>
            <w:szCs w:val="18"/>
            <w:shd w:val="clear" w:color="auto" w:fill="FFFFFF"/>
          </w:rPr>
          <w:t>1798</w:t>
        </w:r>
      </w:hyperlink>
      <w:r w:rsidRPr="001973F5">
        <w:rPr>
          <w:sz w:val="18"/>
          <w:szCs w:val="18"/>
          <w:shd w:val="clear" w:color="auto" w:fill="FFFFFF"/>
        </w:rPr>
        <w:t> oraz z 2023 r. poz. </w:t>
      </w:r>
      <w:hyperlink r:id="rId13" w:tgtFrame="druga" w:history="1">
        <w:r w:rsidRPr="001973F5">
          <w:rPr>
            <w:sz w:val="18"/>
            <w:szCs w:val="18"/>
            <w:shd w:val="clear" w:color="auto" w:fill="FFFFFF"/>
          </w:rPr>
          <w:t>352</w:t>
        </w:r>
      </w:hyperlink>
      <w:r w:rsidRPr="001973F5">
        <w:rPr>
          <w:sz w:val="18"/>
          <w:szCs w:val="18"/>
          <w:shd w:val="clear" w:color="auto" w:fill="FFFFFF"/>
        </w:rPr>
        <w:t>)</w:t>
      </w:r>
      <w:r>
        <w:rPr>
          <w:sz w:val="18"/>
          <w:szCs w:val="18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62FF"/>
    <w:multiLevelType w:val="multilevel"/>
    <w:tmpl w:val="59268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917F6"/>
    <w:multiLevelType w:val="multilevel"/>
    <w:tmpl w:val="E878FD16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6491A14"/>
    <w:multiLevelType w:val="multilevel"/>
    <w:tmpl w:val="52F03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07433">
    <w:abstractNumId w:val="0"/>
    <w:lvlOverride w:ilvl="0">
      <w:startOverride w:val="1"/>
    </w:lvlOverride>
  </w:num>
  <w:num w:numId="2" w16cid:durableId="798182848">
    <w:abstractNumId w:val="3"/>
  </w:num>
  <w:num w:numId="3" w16cid:durableId="822283730">
    <w:abstractNumId w:val="1"/>
    <w:lvlOverride w:ilvl="0">
      <w:startOverride w:val="5"/>
    </w:lvlOverride>
  </w:num>
  <w:num w:numId="4" w16cid:durableId="172058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A5"/>
    <w:rsid w:val="0010275B"/>
    <w:rsid w:val="001740A5"/>
    <w:rsid w:val="00402D20"/>
    <w:rsid w:val="00441A14"/>
    <w:rsid w:val="005A67A8"/>
    <w:rsid w:val="00640922"/>
    <w:rsid w:val="00652E0A"/>
    <w:rsid w:val="00694A16"/>
    <w:rsid w:val="008641FB"/>
    <w:rsid w:val="00A37F8E"/>
    <w:rsid w:val="00AF59B5"/>
    <w:rsid w:val="00B10945"/>
    <w:rsid w:val="00C8783F"/>
    <w:rsid w:val="00EE716B"/>
    <w:rsid w:val="00F2498D"/>
    <w:rsid w:val="00F742BA"/>
    <w:rsid w:val="00FC3BCD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B444"/>
  <w15:chartTrackingRefBased/>
  <w15:docId w15:val="{56A8652A-D6D4-4473-95DF-1244D023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740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EE716B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740A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17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40A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1740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740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1740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740A5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basedOn w:val="Normalny"/>
    <w:rsid w:val="001740A5"/>
    <w:pPr>
      <w:ind w:left="708"/>
    </w:pPr>
  </w:style>
  <w:style w:type="paragraph" w:customStyle="1" w:styleId="ust">
    <w:name w:val="ust"/>
    <w:basedOn w:val="Normalny"/>
    <w:rsid w:val="001740A5"/>
    <w:pPr>
      <w:spacing w:before="100"/>
      <w:ind w:firstLine="375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rsid w:val="001740A5"/>
    <w:rPr>
      <w:position w:val="0"/>
      <w:vertAlign w:val="superscript"/>
    </w:rPr>
  </w:style>
  <w:style w:type="paragraph" w:customStyle="1" w:styleId="Default">
    <w:name w:val="Default"/>
    <w:rsid w:val="00174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A14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E716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1-07-2020&amp;qplikid=2" TargetMode="External"/><Relationship Id="rId13" Type="http://schemas.openxmlformats.org/officeDocument/2006/relationships/hyperlink" Target="https://www.prawo.vulcan.edu.pl/przegdok.asp?qdatprz=01-07-2020&amp;qplikid=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01-07-2020&amp;qplikid=2" TargetMode="External"/><Relationship Id="rId12" Type="http://schemas.openxmlformats.org/officeDocument/2006/relationships/hyperlink" Target="https://www.prawo.vulcan.edu.pl/przegdok.asp?qdatprz=01-07-2020&amp;qplikid=2" TargetMode="External"/><Relationship Id="rId17" Type="http://schemas.openxmlformats.org/officeDocument/2006/relationships/hyperlink" Target="https://www.prawo.vulcan.edu.pl/przegdok.asp?qdatprz=29-11-2021&amp;qplikid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01-07-2020&amp;qplikid=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01-07-2020&amp;qplikid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dok.asp?qdatprz=01-07-2020&amp;qplikid=2" TargetMode="External"/><Relationship Id="rId10" Type="http://schemas.openxmlformats.org/officeDocument/2006/relationships/hyperlink" Target="https://www.prawo.vulcan.edu.pl/przegdok.asp?qdatprz=01-07-2020&amp;qplikid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01-07-2020&amp;qplikid=2" TargetMode="External"/><Relationship Id="rId14" Type="http://schemas.openxmlformats.org/officeDocument/2006/relationships/hyperlink" Target="https://www.prawo.vulcan.edu.pl/przegdok.asp?qdatprz=01-07-2020&amp;qplikid=2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9-05-2023&amp;qindid=171&amp;qindrodzaj=20&amp;qprodzaj=0&amp;qprok=2019&amp;qpnr=2441&amp;qppozycja=2441" TargetMode="External"/><Relationship Id="rId13" Type="http://schemas.openxmlformats.org/officeDocument/2006/relationships/hyperlink" Target="https://www.prawo.vulcan.edu.pl/przegladarka.asp?qdatprz=29-05-2023&amp;qindid=171&amp;qindrodzaj=20&amp;qprodzaj=0&amp;qprok=2023&amp;qpnr=352&amp;qppozycja=352" TargetMode="External"/><Relationship Id="rId3" Type="http://schemas.openxmlformats.org/officeDocument/2006/relationships/hyperlink" Target="https://www.prawo.vulcan.edu.pl/przegladarka.asp?qdatprz=29-05-2023&amp;qindid=171&amp;qindrodzaj=20&amp;qprodzaj=0&amp;qprok=2016&amp;qpnr=1029&amp;qppozycja=1029" TargetMode="External"/><Relationship Id="rId7" Type="http://schemas.openxmlformats.org/officeDocument/2006/relationships/hyperlink" Target="https://www.prawo.vulcan.edu.pl/przegladarka.asp?qdatprz=29-05-2023&amp;qindid=171&amp;qindrodzaj=20&amp;qprodzaj=0&amp;qprok=2019&amp;qpnr=1587&amp;qppozycja=1587" TargetMode="External"/><Relationship Id="rId12" Type="http://schemas.openxmlformats.org/officeDocument/2006/relationships/hyperlink" Target="https://www.prawo.vulcan.edu.pl/przegladarka.asp?qdatprz=29-05-2023&amp;qindid=171&amp;qindrodzaj=20&amp;qprodzaj=0&amp;qprok=2022&amp;qpnr=1798&amp;qppozycja=1798" TargetMode="External"/><Relationship Id="rId2" Type="http://schemas.openxmlformats.org/officeDocument/2006/relationships/hyperlink" Target="https://www.prawo.vulcan.edu.pl/przegladarka.asp?qdatprz=29-05-2023&amp;qindid=171&amp;qindrodzaj=20&amp;qprodzaj=0&amp;qprok=2015&amp;qpnr=868&amp;qppozycja=868" TargetMode="External"/><Relationship Id="rId1" Type="http://schemas.openxmlformats.org/officeDocument/2006/relationships/hyperlink" Target="https://www.prawo.vulcan.edu.pl/przegladarka.asp?qdatprz=29-05-2023&amp;qindid=171&amp;qindrodzaj=20&amp;qprodzaj=0&amp;qprok=2014&amp;qpnr=922&amp;qppozycja=922" TargetMode="External"/><Relationship Id="rId6" Type="http://schemas.openxmlformats.org/officeDocument/2006/relationships/hyperlink" Target="https://www.prawo.vulcan.edu.pl/przegladarka.asp?qdatprz=29-05-2023&amp;qindid=171&amp;qindrodzaj=20&amp;qprodzaj=0&amp;qprok=2019&amp;qpnr=249&amp;qppozycja=249" TargetMode="External"/><Relationship Id="rId11" Type="http://schemas.openxmlformats.org/officeDocument/2006/relationships/hyperlink" Target="https://www.prawo.vulcan.edu.pl/przegladarka.asp?qdatprz=29-05-2023&amp;qindid=171&amp;qindrodzaj=20&amp;qprodzaj=0&amp;qprok=2022&amp;qpnr=1057&amp;qppozycja=1057" TargetMode="External"/><Relationship Id="rId5" Type="http://schemas.openxmlformats.org/officeDocument/2006/relationships/hyperlink" Target="https://www.prawo.vulcan.edu.pl/przegladarka.asp?qdatprz=29-05-2023&amp;qindid=171&amp;qindrodzaj=20&amp;qprodzaj=0&amp;qprok=2018&amp;qpnr=638&amp;qppozycja=638" TargetMode="External"/><Relationship Id="rId10" Type="http://schemas.openxmlformats.org/officeDocument/2006/relationships/hyperlink" Target="https://www.prawo.vulcan.edu.pl/przegladarka.asp?qdatprz=29-05-2023&amp;qindid=171&amp;qindrodzaj=20&amp;qprodzaj=0&amp;qprok=2021&amp;qpnr=787&amp;qppozycja=787" TargetMode="External"/><Relationship Id="rId4" Type="http://schemas.openxmlformats.org/officeDocument/2006/relationships/hyperlink" Target="https://www.prawo.vulcan.edu.pl/przegladarka.asp?qdatprz=29-05-2023&amp;qindid=171&amp;qindrodzaj=20&amp;qprodzaj=0&amp;qprok=2017&amp;qpnr=630&amp;qppozycja=630" TargetMode="External"/><Relationship Id="rId9" Type="http://schemas.openxmlformats.org/officeDocument/2006/relationships/hyperlink" Target="https://www.prawo.vulcan.edu.pl/przegladarka.asp?qdatprz=29-05-2023&amp;qindid=171&amp;qindrodzaj=20&amp;qprodzaj=0&amp;qprok=2020&amp;qpnr=1491&amp;qppozycja=14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3</cp:revision>
  <cp:lastPrinted>2023-06-22T09:21:00Z</cp:lastPrinted>
  <dcterms:created xsi:type="dcterms:W3CDTF">2023-06-22T12:30:00Z</dcterms:created>
  <dcterms:modified xsi:type="dcterms:W3CDTF">2023-06-22T12:31:00Z</dcterms:modified>
</cp:coreProperties>
</file>