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CCDA" w14:textId="775BE3F9" w:rsidR="001A5E1B" w:rsidRPr="001A5E1B" w:rsidRDefault="001A5E1B" w:rsidP="009F7EC9">
      <w:pPr>
        <w:tabs>
          <w:tab w:val="left" w:pos="14175"/>
        </w:tabs>
        <w:spacing w:after="120"/>
        <w:ind w:right="143"/>
        <w:rPr>
          <w:b/>
          <w:sz w:val="18"/>
          <w:szCs w:val="18"/>
          <w:u w:val="single"/>
        </w:rPr>
      </w:pPr>
      <w:r w:rsidRPr="001A5E1B">
        <w:rPr>
          <w:b/>
          <w:sz w:val="18"/>
          <w:szCs w:val="18"/>
          <w:u w:val="single"/>
        </w:rPr>
        <w:t>Załącznik do Kryteriów wyboru projektów</w:t>
      </w:r>
      <w:r w:rsidRPr="001A5E1B">
        <w:rPr>
          <w:b/>
          <w:bCs/>
          <w:sz w:val="18"/>
          <w:szCs w:val="18"/>
          <w:u w:val="single"/>
        </w:rPr>
        <w:t>. Definicje wskaźników produktu i rezultatu.</w:t>
      </w:r>
    </w:p>
    <w:p w14:paraId="0FE1AC47" w14:textId="77777777" w:rsidR="001A5E1B" w:rsidRPr="001A5E1B" w:rsidRDefault="001A5E1B" w:rsidP="009F7EC9">
      <w:pPr>
        <w:spacing w:after="0"/>
        <w:ind w:right="143"/>
        <w:rPr>
          <w:sz w:val="18"/>
          <w:szCs w:val="18"/>
        </w:rPr>
      </w:pPr>
      <w:r w:rsidRPr="001A5E1B">
        <w:rPr>
          <w:b/>
          <w:sz w:val="18"/>
          <w:szCs w:val="18"/>
        </w:rPr>
        <w:t>Oś priorytetowa:</w:t>
      </w:r>
      <w:r w:rsidRPr="001A5E1B">
        <w:rPr>
          <w:sz w:val="18"/>
          <w:szCs w:val="18"/>
        </w:rPr>
        <w:t xml:space="preserve"> 6 Solidarne społeczeństwo i konkurencyjne kadry</w:t>
      </w:r>
    </w:p>
    <w:p w14:paraId="5F9AD48A" w14:textId="77777777" w:rsidR="001A5E1B" w:rsidRPr="001A5E1B" w:rsidRDefault="001A5E1B" w:rsidP="009F7EC9">
      <w:pPr>
        <w:spacing w:after="0"/>
        <w:ind w:right="143"/>
        <w:rPr>
          <w:sz w:val="18"/>
          <w:szCs w:val="18"/>
        </w:rPr>
      </w:pPr>
      <w:r w:rsidRPr="001A5E1B">
        <w:rPr>
          <w:b/>
          <w:sz w:val="18"/>
          <w:szCs w:val="18"/>
        </w:rPr>
        <w:t>Działanie:</w:t>
      </w:r>
      <w:r w:rsidRPr="001A5E1B">
        <w:rPr>
          <w:sz w:val="18"/>
          <w:szCs w:val="18"/>
        </w:rPr>
        <w:t xml:space="preserve"> 6.1 Inwestycje w infrastrukturę zdrowotną i społeczną</w:t>
      </w:r>
    </w:p>
    <w:p w14:paraId="51D8AD8A" w14:textId="77777777" w:rsidR="001A5E1B" w:rsidRPr="001A5E1B" w:rsidRDefault="001A5E1B" w:rsidP="009F7EC9">
      <w:pPr>
        <w:spacing w:after="0"/>
        <w:ind w:right="143"/>
        <w:rPr>
          <w:b/>
          <w:sz w:val="18"/>
          <w:szCs w:val="18"/>
        </w:rPr>
      </w:pPr>
      <w:r w:rsidRPr="001A5E1B">
        <w:rPr>
          <w:b/>
          <w:sz w:val="18"/>
          <w:szCs w:val="18"/>
        </w:rPr>
        <w:t xml:space="preserve">Poddziałanie: </w:t>
      </w:r>
      <w:r w:rsidRPr="001A5E1B">
        <w:rPr>
          <w:sz w:val="18"/>
          <w:szCs w:val="18"/>
        </w:rPr>
        <w:t>6.1.2 Inwestycje w infrastrukturę społeczną</w:t>
      </w:r>
    </w:p>
    <w:p w14:paraId="00866732" w14:textId="77777777" w:rsidR="001A5E1B" w:rsidRPr="001A5E1B" w:rsidRDefault="001A5E1B" w:rsidP="009F7EC9">
      <w:pPr>
        <w:spacing w:after="0"/>
        <w:ind w:right="143"/>
        <w:rPr>
          <w:sz w:val="18"/>
          <w:szCs w:val="18"/>
        </w:rPr>
      </w:pPr>
      <w:r w:rsidRPr="001A5E1B">
        <w:rPr>
          <w:b/>
          <w:sz w:val="18"/>
          <w:szCs w:val="18"/>
        </w:rPr>
        <w:t>Priorytet Inwestycyjny:</w:t>
      </w:r>
      <w:r w:rsidRPr="001A5E1B">
        <w:rPr>
          <w:sz w:val="18"/>
          <w:szCs w:val="18"/>
        </w:rPr>
        <w:t xml:space="preserve">  9a Inwestycje w infrastrukturę zdrowotną i społeczną (…)</w:t>
      </w:r>
    </w:p>
    <w:p w14:paraId="3F319765" w14:textId="77777777" w:rsidR="001A5E1B" w:rsidRPr="001A5E1B" w:rsidRDefault="001A5E1B" w:rsidP="009F7EC9">
      <w:pPr>
        <w:spacing w:after="0"/>
        <w:ind w:right="143"/>
        <w:rPr>
          <w:sz w:val="18"/>
          <w:szCs w:val="18"/>
        </w:rPr>
      </w:pPr>
      <w:r w:rsidRPr="001A5E1B">
        <w:rPr>
          <w:b/>
          <w:sz w:val="18"/>
          <w:szCs w:val="18"/>
        </w:rPr>
        <w:t>Cel szczegółowy:</w:t>
      </w:r>
      <w:r w:rsidRPr="001A5E1B">
        <w:rPr>
          <w:sz w:val="18"/>
          <w:szCs w:val="18"/>
        </w:rPr>
        <w:t xml:space="preserve"> Zwiększony dostęp do usług społecznych</w:t>
      </w:r>
    </w:p>
    <w:p w14:paraId="6C89DA4D" w14:textId="01D2FFB3" w:rsidR="001A5E1B" w:rsidRPr="001A5E1B" w:rsidRDefault="001A5E1B" w:rsidP="009F7EC9">
      <w:pPr>
        <w:spacing w:after="120"/>
        <w:ind w:right="143"/>
        <w:rPr>
          <w:sz w:val="18"/>
          <w:szCs w:val="18"/>
        </w:rPr>
      </w:pPr>
      <w:r w:rsidRPr="001A5E1B">
        <w:rPr>
          <w:b/>
          <w:sz w:val="18"/>
          <w:szCs w:val="18"/>
        </w:rPr>
        <w:t xml:space="preserve">schemat: </w:t>
      </w:r>
      <w:r w:rsidRPr="001A5E1B">
        <w:rPr>
          <w:bCs/>
          <w:sz w:val="18"/>
          <w:szCs w:val="18"/>
        </w:rPr>
        <w:t xml:space="preserve">Placówki opiekuńczo-wychowawcze do 14 </w:t>
      </w:r>
      <w:r w:rsidR="00A6754E">
        <w:rPr>
          <w:bCs/>
          <w:sz w:val="18"/>
          <w:szCs w:val="18"/>
        </w:rPr>
        <w:t>dzieci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2212"/>
        <w:gridCol w:w="1109"/>
        <w:gridCol w:w="5161"/>
      </w:tblGrid>
      <w:tr w:rsidR="001A5E1B" w:rsidRPr="009F7EC9" w14:paraId="74DF2ACB" w14:textId="77777777" w:rsidTr="009F7EC9">
        <w:trPr>
          <w:trHeight w:val="484"/>
        </w:trPr>
        <w:tc>
          <w:tcPr>
            <w:tcW w:w="202" w:type="pct"/>
            <w:shd w:val="clear" w:color="auto" w:fill="F2F2F2"/>
            <w:vAlign w:val="center"/>
          </w:tcPr>
          <w:p w14:paraId="7F88B4C1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t>Lp.</w:t>
            </w:r>
          </w:p>
        </w:tc>
        <w:tc>
          <w:tcPr>
            <w:tcW w:w="915" w:type="pct"/>
            <w:shd w:val="clear" w:color="auto" w:fill="F2F2F2"/>
            <w:vAlign w:val="center"/>
          </w:tcPr>
          <w:p w14:paraId="3A8B48D3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t>Nazwa wskaźnika</w:t>
            </w:r>
          </w:p>
        </w:tc>
        <w:tc>
          <w:tcPr>
            <w:tcW w:w="523" w:type="pct"/>
            <w:shd w:val="clear" w:color="auto" w:fill="F2F2F2"/>
            <w:vAlign w:val="center"/>
          </w:tcPr>
          <w:p w14:paraId="0C75921C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t>Jednostka miary</w:t>
            </w:r>
          </w:p>
        </w:tc>
        <w:tc>
          <w:tcPr>
            <w:tcW w:w="3359" w:type="pct"/>
            <w:shd w:val="clear" w:color="auto" w:fill="F2F2F2"/>
            <w:vAlign w:val="center"/>
          </w:tcPr>
          <w:p w14:paraId="1572EC47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t>Definicja</w:t>
            </w:r>
          </w:p>
        </w:tc>
      </w:tr>
      <w:tr w:rsidR="001A5E1B" w:rsidRPr="009F7EC9" w14:paraId="460D80B8" w14:textId="77777777" w:rsidTr="009F7EC9">
        <w:trPr>
          <w:trHeight w:val="535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3079A722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t>Wskaźnik rezultatu bezpośredniego</w:t>
            </w:r>
          </w:p>
        </w:tc>
      </w:tr>
      <w:tr w:rsidR="001A5E1B" w:rsidRPr="009F7EC9" w14:paraId="62CA9333" w14:textId="77777777" w:rsidTr="009F7EC9">
        <w:trPr>
          <w:trHeight w:val="575"/>
        </w:trPr>
        <w:tc>
          <w:tcPr>
            <w:tcW w:w="202" w:type="pct"/>
            <w:shd w:val="clear" w:color="auto" w:fill="FFFFFF"/>
            <w:vAlign w:val="center"/>
          </w:tcPr>
          <w:p w14:paraId="0F0FE39F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915" w:type="pct"/>
            <w:shd w:val="clear" w:color="auto" w:fill="FFFFFF"/>
            <w:vAlign w:val="center"/>
          </w:tcPr>
          <w:p w14:paraId="6F9BF6E4" w14:textId="77777777" w:rsidR="001A5E1B" w:rsidRPr="009F7EC9" w:rsidRDefault="001A5E1B" w:rsidP="009F7EC9">
            <w:pPr>
              <w:ind w:right="143"/>
              <w:rPr>
                <w:rFonts w:cs="Calibri"/>
                <w:bCs/>
                <w:sz w:val="18"/>
                <w:szCs w:val="18"/>
              </w:rPr>
            </w:pPr>
            <w:r w:rsidRPr="009F7EC9">
              <w:rPr>
                <w:rFonts w:cs="Calibri"/>
                <w:bCs/>
                <w:sz w:val="18"/>
                <w:szCs w:val="18"/>
              </w:rPr>
              <w:t>Liczba osób korzystających z nowych lub zaadaptowanych budynków przeznaczonych na cele usług świadczonych na poziomie lokalnych społeczności</w:t>
            </w:r>
          </w:p>
        </w:tc>
        <w:tc>
          <w:tcPr>
            <w:tcW w:w="523" w:type="pct"/>
            <w:shd w:val="clear" w:color="auto" w:fill="FFFFFF"/>
            <w:vAlign w:val="center"/>
          </w:tcPr>
          <w:p w14:paraId="4D5B8881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os.</w:t>
            </w:r>
          </w:p>
        </w:tc>
        <w:tc>
          <w:tcPr>
            <w:tcW w:w="3359" w:type="pct"/>
            <w:shd w:val="clear" w:color="auto" w:fill="FFFFFF"/>
            <w:vAlign w:val="center"/>
          </w:tcPr>
          <w:p w14:paraId="4B90AA7C" w14:textId="77777777" w:rsidR="001A5E1B" w:rsidRPr="009F7EC9" w:rsidRDefault="001A5E1B" w:rsidP="009F7EC9">
            <w:pPr>
              <w:spacing w:after="12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monitoruje liczbę osób korzystających z nowych lub zaadaptowanych, w ramach projektu budynków przeznaczonych na cele usług społecznych świadczonych na poziomie lokalnych społeczności. </w:t>
            </w:r>
          </w:p>
          <w:p w14:paraId="07E926ED" w14:textId="77777777" w:rsidR="001A5E1B" w:rsidRPr="009F7EC9" w:rsidRDefault="001A5E1B" w:rsidP="009F7EC9">
            <w:pPr>
              <w:spacing w:after="12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  <w:u w:val="single"/>
              </w:rPr>
              <w:t>Budynek</w:t>
            </w:r>
            <w:r w:rsidRPr="009F7EC9">
              <w:rPr>
                <w:rFonts w:cs="Calibri"/>
                <w:sz w:val="18"/>
                <w:szCs w:val="18"/>
              </w:rPr>
              <w:t xml:space="preserve"> - obiekt budowlany, który jest trwale związany z gruntem, wydzielony z przestrzeni za pomocą przegród budowlanych oraz posiada fundamenty i dach (art. 3 pkt 2 prawa budowlanego). </w:t>
            </w:r>
          </w:p>
          <w:p w14:paraId="1686F757" w14:textId="77777777" w:rsidR="001A5E1B" w:rsidRPr="009F7EC9" w:rsidRDefault="001A5E1B" w:rsidP="009F7EC9">
            <w:pPr>
              <w:spacing w:after="12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Wsparcie obejmuje budowę, rozbudowę, nadbudowę, przebudowę, adaptację, remont, modernizację oraz wyposażenie obiektów na potrzeby realizacji usług świadczonych w środowisku lokalnym.  </w:t>
            </w:r>
          </w:p>
          <w:p w14:paraId="52CB82A5" w14:textId="77777777" w:rsidR="001A5E1B" w:rsidRPr="009F7EC9" w:rsidRDefault="001A5E1B" w:rsidP="009F7EC9">
            <w:pPr>
              <w:spacing w:after="12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Definicja budowy, przebudowy i remontu jest tożsama z definicją z art. 3 prawa budowlanego.</w:t>
            </w:r>
          </w:p>
          <w:p w14:paraId="645FDD10" w14:textId="52A31B79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Usługi świadczone w lokalnej społeczności</w:t>
            </w:r>
            <w:r w:rsidRPr="009F7EC9">
              <w:rPr>
                <w:rFonts w:cs="Calibri"/>
                <w:sz w:val="18"/>
                <w:szCs w:val="18"/>
                <w:vertAlign w:val="superscript"/>
              </w:rPr>
              <w:footnoteReference w:id="1"/>
            </w:r>
            <w:r w:rsidRPr="009F7EC9">
              <w:rPr>
                <w:rFonts w:cs="Calibri"/>
                <w:sz w:val="18"/>
                <w:szCs w:val="18"/>
              </w:rPr>
              <w:t xml:space="preserve"> – usługi świadczone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interesie ogólnym, umożliwiające osobom niezależne życie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środowisku lokalnym. Usługi te zapobiegają odizolowaniu osób od rodziny lub społeczności lokalnej, a gdy to nie jest możliwe, gwarantują tym osobom warunki życia jak najbardziej zbliżone do warunków domowych i rodzinnych oraz umożliwiają podtrzymywanie więzi rodzinnych i sąsiedzkich Są to usługi świadczone w sposób:  </w:t>
            </w:r>
          </w:p>
          <w:p w14:paraId="4CB0A8F2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a) zindywidualizowany (dostosowany do potrzeb i możliwości danej osoby); </w:t>
            </w:r>
          </w:p>
          <w:p w14:paraId="304E289A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b) umożliwiający odbiorcom tych usług kontrolę nad swoim życiem i nad decyzjami, które ich dotyczą;  </w:t>
            </w:r>
          </w:p>
          <w:p w14:paraId="417869DF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c) zapewniający, że odbiorcy usług nie są odizolowani od ogółu społeczności lub nie są zmuszeni do mieszkania razem;  </w:t>
            </w:r>
          </w:p>
          <w:p w14:paraId="43826641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d) gwarantujący, że wymagania organizacyjne nie mają pierwszeństwa przed indywidualnymi potrzebami mieszkańców.</w:t>
            </w:r>
          </w:p>
          <w:p w14:paraId="7C99A812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Warunki, o których mowa w lit a – d, muszą być spełnione łącznie.</w:t>
            </w:r>
          </w:p>
          <w:p w14:paraId="2DD1C04A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dotyczy osób korzystających z nowych lub zaadaptowanych, w wyniku realizacji projektu, budynków na </w:t>
            </w:r>
            <w:r w:rsidRPr="009F7EC9">
              <w:rPr>
                <w:rFonts w:cs="Calibri"/>
                <w:sz w:val="18"/>
                <w:szCs w:val="18"/>
              </w:rPr>
              <w:lastRenderedPageBreak/>
              <w:t>potrzeby placówek wsparcia i opieki</w:t>
            </w:r>
            <w:r w:rsidRPr="009F7EC9">
              <w:rPr>
                <w:rFonts w:cs="Calibri"/>
                <w:sz w:val="18"/>
                <w:szCs w:val="18"/>
                <w:vertAlign w:val="superscript"/>
              </w:rPr>
              <w:footnoteReference w:id="2"/>
            </w:r>
            <w:r w:rsidRPr="009F7EC9">
              <w:rPr>
                <w:rFonts w:cs="Calibri"/>
                <w:sz w:val="18"/>
                <w:szCs w:val="18"/>
              </w:rPr>
              <w:t xml:space="preserve"> (dzienne domy pobytu, środowiskowe domy samopomocy, kluby samopomocy), innych ośrodków świadczących usługi społeczne. </w:t>
            </w:r>
          </w:p>
        </w:tc>
      </w:tr>
      <w:tr w:rsidR="001A5E1B" w:rsidRPr="009F7EC9" w14:paraId="4A19EA35" w14:textId="77777777" w:rsidTr="009F7EC9">
        <w:trPr>
          <w:trHeight w:val="535"/>
        </w:trPr>
        <w:tc>
          <w:tcPr>
            <w:tcW w:w="5000" w:type="pct"/>
            <w:gridSpan w:val="4"/>
            <w:shd w:val="clear" w:color="auto" w:fill="F2F2F2"/>
            <w:vAlign w:val="center"/>
          </w:tcPr>
          <w:p w14:paraId="107DEDD6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lastRenderedPageBreak/>
              <w:t>Wskaźnik produktu</w:t>
            </w:r>
          </w:p>
        </w:tc>
      </w:tr>
      <w:tr w:rsidR="001A5E1B" w:rsidRPr="009F7EC9" w14:paraId="450F77CD" w14:textId="77777777" w:rsidTr="009F7EC9">
        <w:trPr>
          <w:trHeight w:val="575"/>
        </w:trPr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3AC752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FD8D59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Liczba nowych lub zaadaptowanych budynków przeznaczonych na cele usług świadczonych na poziomie lokalnych społeczności</w:t>
            </w:r>
          </w:p>
          <w:p w14:paraId="56247323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61DD75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szt.</w:t>
            </w:r>
          </w:p>
        </w:tc>
        <w:tc>
          <w:tcPr>
            <w:tcW w:w="33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799FE0" w14:textId="5661C10E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monitoruje liczbę nowych lub zaadaptowanych,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ramach projektu, budynków przeznaczonych na cele usług społecznych świadczonych na poziomie lokalnych społeczności.  </w:t>
            </w:r>
          </w:p>
          <w:p w14:paraId="6CF7546D" w14:textId="7F38169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Budynek - obiekt budowlany, który jest trwale związany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z gruntem, wydzielony z przestrzeni za pomocą przegród budowlanych oraz posiada fundamenty i dach (art. 3 pkt 2 prawa budowlanego). </w:t>
            </w:r>
          </w:p>
          <w:p w14:paraId="676EC3C5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Wsparcie obejmuje budowę, rozbudowę, nadbudowę, przebudowę, adaptację, remont, modernizację oraz wyposażenie obiektów na potrzeby realizacji usług świadczonych w środowisku lokalnym.  </w:t>
            </w:r>
          </w:p>
          <w:p w14:paraId="1F59453E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Definicja budowy, przebudowy i remontu jest tożsama z definicją z art. 3 prawa budowlanego. </w:t>
            </w:r>
          </w:p>
          <w:p w14:paraId="3EC22BD9" w14:textId="75E8D74C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Usługi świadczone w lokalnej społeczności</w:t>
            </w:r>
            <w:r w:rsidRPr="009F7EC9">
              <w:rPr>
                <w:rFonts w:cs="Calibri"/>
                <w:sz w:val="18"/>
                <w:szCs w:val="18"/>
                <w:vertAlign w:val="superscript"/>
              </w:rPr>
              <w:footnoteReference w:id="3"/>
            </w:r>
            <w:r w:rsidRPr="009F7EC9">
              <w:rPr>
                <w:rFonts w:cs="Calibri"/>
                <w:sz w:val="18"/>
                <w:szCs w:val="18"/>
              </w:rPr>
              <w:t xml:space="preserve"> – usługi świadczone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interesie ogólnym, umożliwiające osobom niezależne życie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środowisku lokalnym. Usługi te zapobiegają odizolowaniu osób od rodziny lub społeczności lokalnej, a gdy to nie jest możliwe, gwarantują tym osobom warunki życia jak najbardziej zbliżone do warunków domowych i rodzinnych oraz umożliwiają podtrzymywanie więzi rodzinnych i sąsiedzkich. Są to usługi świadczone w sposób:  </w:t>
            </w:r>
          </w:p>
          <w:p w14:paraId="3A18F2E2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a) zindywidualizowany (dostosowany do potrzeb i możliwości danej osoby);</w:t>
            </w:r>
          </w:p>
          <w:p w14:paraId="6A2A93C7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b) umożliwiający odbiorcom tych usług kontrolę nad swoim życiem i nad decyzjami, które ich dotyczą;  </w:t>
            </w:r>
          </w:p>
          <w:p w14:paraId="7E7424A9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c) zapewniający, że odbiorcy usług nie są odizolowani od ogółu społeczności lub nie są zmuszeni do mieszkania razem;  </w:t>
            </w:r>
          </w:p>
          <w:p w14:paraId="48AF72C3" w14:textId="77777777" w:rsidR="001A5E1B" w:rsidRPr="009F7EC9" w:rsidRDefault="001A5E1B" w:rsidP="009F7EC9">
            <w:pPr>
              <w:spacing w:after="0"/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d) gwarantujący, że wymagania organizacyjne nie mają pierwszeństwa przed indywidualnymi potrzebami mieszkańców.</w:t>
            </w:r>
          </w:p>
          <w:p w14:paraId="0DD276FD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Warunki, o których mowa w lit a – d, muszą być spełnione łącznie.</w:t>
            </w:r>
          </w:p>
          <w:p w14:paraId="5E2B7AB6" w14:textId="00987526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dotyczy nowych lub zaadaptowanych, w wyniku realizacji projektu, budynków na potrzeby placówek wsparcia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>i opieki</w:t>
            </w:r>
            <w:r w:rsidRPr="009F7EC9">
              <w:rPr>
                <w:rFonts w:cs="Calibri"/>
                <w:sz w:val="18"/>
                <w:szCs w:val="18"/>
                <w:vertAlign w:val="superscript"/>
              </w:rPr>
              <w:footnoteReference w:id="4"/>
            </w:r>
            <w:r w:rsidRPr="009F7EC9">
              <w:rPr>
                <w:rFonts w:cs="Calibri"/>
                <w:sz w:val="18"/>
                <w:szCs w:val="18"/>
              </w:rPr>
              <w:t xml:space="preserve"> (dzienne domy pobytu, środowiskowe domy samopomocy, kluby samopomocy), innych ośrodków świadczących usługi społeczne. </w:t>
            </w:r>
          </w:p>
        </w:tc>
      </w:tr>
      <w:tr w:rsidR="001A5E1B" w:rsidRPr="009F7EC9" w14:paraId="5E562AB5" w14:textId="77777777" w:rsidTr="009F7EC9">
        <w:trPr>
          <w:trHeight w:val="575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3CB96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  <w:r w:rsidRPr="009F7EC9">
              <w:rPr>
                <w:rFonts w:cs="Calibri"/>
                <w:b/>
                <w:sz w:val="18"/>
                <w:szCs w:val="18"/>
              </w:rPr>
              <w:lastRenderedPageBreak/>
              <w:t>Horyzontalne wskaźniki produktu</w:t>
            </w:r>
          </w:p>
        </w:tc>
      </w:tr>
      <w:tr w:rsidR="001A5E1B" w:rsidRPr="009F7EC9" w14:paraId="67F2CEBE" w14:textId="77777777" w:rsidTr="009F7EC9">
        <w:trPr>
          <w:trHeight w:val="575"/>
        </w:trPr>
        <w:tc>
          <w:tcPr>
            <w:tcW w:w="202" w:type="pct"/>
            <w:shd w:val="clear" w:color="auto" w:fill="auto"/>
            <w:vAlign w:val="center"/>
          </w:tcPr>
          <w:p w14:paraId="2AB14D47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6EEE695E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</w:p>
          <w:p w14:paraId="4B4D2D6A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Liczba obiektów dostosowanych do potrzeb osób z niepełnosprawnościami </w:t>
            </w:r>
          </w:p>
          <w:p w14:paraId="6AD4157F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654988BE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szt.</w:t>
            </w:r>
          </w:p>
        </w:tc>
        <w:tc>
          <w:tcPr>
            <w:tcW w:w="3359" w:type="pct"/>
            <w:shd w:val="clear" w:color="auto" w:fill="auto"/>
            <w:vAlign w:val="center"/>
          </w:tcPr>
          <w:p w14:paraId="510FD889" w14:textId="73D2F410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odnosi się do liczby obiektów, które zaopatrzono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>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 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</w:t>
            </w:r>
            <w:r w:rsidRPr="009F7EC9">
              <w:rPr>
                <w:rFonts w:cs="Calibri"/>
                <w:sz w:val="18"/>
                <w:szCs w:val="18"/>
                <w:vertAlign w:val="superscript"/>
              </w:rPr>
              <w:footnoteReference w:id="5"/>
            </w:r>
            <w:r w:rsidRPr="009F7EC9">
              <w:rPr>
                <w:rFonts w:cs="Calibri"/>
                <w:sz w:val="18"/>
                <w:szCs w:val="18"/>
              </w:rPr>
              <w:t xml:space="preserve">. </w:t>
            </w:r>
          </w:p>
        </w:tc>
      </w:tr>
      <w:tr w:rsidR="001A5E1B" w:rsidRPr="009F7EC9" w14:paraId="1822395B" w14:textId="77777777" w:rsidTr="009F7EC9">
        <w:trPr>
          <w:trHeight w:val="575"/>
        </w:trPr>
        <w:tc>
          <w:tcPr>
            <w:tcW w:w="202" w:type="pct"/>
            <w:shd w:val="clear" w:color="auto" w:fill="auto"/>
            <w:vAlign w:val="center"/>
          </w:tcPr>
          <w:p w14:paraId="68F23A18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2FAB9A37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</w:p>
          <w:p w14:paraId="6547EE3E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Liczba osób objętych szkoleniami/doradztwem w zakresie kompetencji cyfrowych</w:t>
            </w:r>
          </w:p>
          <w:p w14:paraId="138BBE8E" w14:textId="77777777" w:rsidR="001A5E1B" w:rsidRPr="009F7EC9" w:rsidRDefault="001A5E1B" w:rsidP="009F7EC9">
            <w:pPr>
              <w:ind w:right="143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731A14FD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os.</w:t>
            </w:r>
          </w:p>
        </w:tc>
        <w:tc>
          <w:tcPr>
            <w:tcW w:w="3359" w:type="pct"/>
            <w:shd w:val="clear" w:color="auto" w:fill="auto"/>
            <w:vAlign w:val="center"/>
          </w:tcPr>
          <w:p w14:paraId="4AA43215" w14:textId="7EEA1208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 </w:t>
            </w:r>
          </w:p>
        </w:tc>
      </w:tr>
      <w:tr w:rsidR="001A5E1B" w:rsidRPr="009F7EC9" w14:paraId="0325A752" w14:textId="77777777" w:rsidTr="009F7EC9">
        <w:trPr>
          <w:trHeight w:val="575"/>
        </w:trPr>
        <w:tc>
          <w:tcPr>
            <w:tcW w:w="202" w:type="pct"/>
            <w:shd w:val="clear" w:color="auto" w:fill="auto"/>
            <w:vAlign w:val="center"/>
          </w:tcPr>
          <w:p w14:paraId="73FF16D8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08583602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Liczba projektów, w których sfinansowano koszty racjonalnych usprawnień dla osób z niepełnosprawnościami</w:t>
            </w:r>
          </w:p>
          <w:p w14:paraId="3B1CABC4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55F64B27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3359" w:type="pct"/>
            <w:shd w:val="clear" w:color="auto" w:fill="auto"/>
            <w:vAlign w:val="center"/>
          </w:tcPr>
          <w:p w14:paraId="64AE05E9" w14:textId="74C2AAD3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z niepełnosprawnościami możliwości korzystania z wszelkich praw człowieka i podstawowych wolności oraz ich wykonywania na zasadzie równości z innymi osobami. Wskaźnik mierzony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lastRenderedPageBreak/>
              <w:t xml:space="preserve">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</w:t>
            </w:r>
          </w:p>
        </w:tc>
      </w:tr>
      <w:tr w:rsidR="001A5E1B" w:rsidRPr="009F7EC9" w14:paraId="0A9BBE90" w14:textId="77777777" w:rsidTr="009F7EC9">
        <w:trPr>
          <w:trHeight w:val="575"/>
        </w:trPr>
        <w:tc>
          <w:tcPr>
            <w:tcW w:w="202" w:type="pct"/>
            <w:shd w:val="clear" w:color="auto" w:fill="auto"/>
            <w:vAlign w:val="center"/>
          </w:tcPr>
          <w:p w14:paraId="5690A8F0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lastRenderedPageBreak/>
              <w:t>4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06ADE938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</w:p>
          <w:p w14:paraId="58D8AE48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Liczba podmiotów wykorzystujących technologie informacyjno-komunikacyjne</w:t>
            </w:r>
          </w:p>
          <w:p w14:paraId="0BA2EF0E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</w:p>
        </w:tc>
        <w:tc>
          <w:tcPr>
            <w:tcW w:w="523" w:type="pct"/>
            <w:shd w:val="clear" w:color="auto" w:fill="auto"/>
            <w:vAlign w:val="center"/>
          </w:tcPr>
          <w:p w14:paraId="04B998F9" w14:textId="77777777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>szt.</w:t>
            </w:r>
          </w:p>
        </w:tc>
        <w:tc>
          <w:tcPr>
            <w:tcW w:w="3359" w:type="pct"/>
            <w:shd w:val="clear" w:color="auto" w:fill="auto"/>
            <w:vAlign w:val="center"/>
          </w:tcPr>
          <w:p w14:paraId="5F2E345D" w14:textId="5122A67B" w:rsidR="001A5E1B" w:rsidRPr="009F7EC9" w:rsidRDefault="001A5E1B" w:rsidP="009F7EC9">
            <w:pPr>
              <w:ind w:right="143"/>
              <w:rPr>
                <w:rFonts w:cs="Calibri"/>
                <w:sz w:val="18"/>
                <w:szCs w:val="18"/>
              </w:rPr>
            </w:pPr>
            <w:r w:rsidRPr="009F7EC9">
              <w:rPr>
                <w:rFonts w:cs="Calibri"/>
                <w:sz w:val="18"/>
                <w:szCs w:val="18"/>
              </w:rPr>
              <w:t xml:space="preserve">Wskaźnik mierzy liczbę podmiotów, które w celu realizacji projektu, zainwestowały w technologie informacyjno-komunikacyjne (TIK),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 w:rsidR="009F7EC9">
              <w:rPr>
                <w:rFonts w:cs="Calibri"/>
                <w:sz w:val="18"/>
                <w:szCs w:val="18"/>
              </w:rPr>
              <w:br/>
            </w:r>
            <w:r w:rsidRPr="009F7EC9">
              <w:rPr>
                <w:rFonts w:cs="Calibri"/>
                <w:sz w:val="18"/>
                <w:szCs w:val="18"/>
              </w:rPr>
              <w:t xml:space="preserve">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w swojej działalności narzędzia TIK. </w:t>
            </w:r>
          </w:p>
        </w:tc>
      </w:tr>
    </w:tbl>
    <w:p w14:paraId="13EA4792" w14:textId="77777777" w:rsidR="001A5E1B" w:rsidRPr="009F7EC9" w:rsidRDefault="001A5E1B" w:rsidP="009F7EC9">
      <w:pPr>
        <w:ind w:right="143"/>
        <w:rPr>
          <w:rFonts w:cs="Calibri"/>
          <w:b/>
          <w:sz w:val="18"/>
          <w:szCs w:val="18"/>
        </w:rPr>
      </w:pPr>
    </w:p>
    <w:p w14:paraId="08CEA66D" w14:textId="77777777" w:rsidR="001A5E1B" w:rsidRPr="009F7EC9" w:rsidRDefault="001A5E1B" w:rsidP="009F7EC9">
      <w:pPr>
        <w:ind w:right="143"/>
        <w:rPr>
          <w:rFonts w:cs="Calibri"/>
          <w:sz w:val="18"/>
          <w:szCs w:val="18"/>
        </w:rPr>
      </w:pPr>
    </w:p>
    <w:sectPr w:rsidR="001A5E1B" w:rsidRPr="009F7EC9" w:rsidSect="009F7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6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6493" w14:textId="77777777" w:rsidR="00DD73BF" w:rsidRDefault="00DD73BF" w:rsidP="00D15E00">
      <w:pPr>
        <w:spacing w:after="0" w:line="240" w:lineRule="auto"/>
      </w:pPr>
      <w:r>
        <w:separator/>
      </w:r>
    </w:p>
  </w:endnote>
  <w:endnote w:type="continuationSeparator" w:id="0">
    <w:p w14:paraId="73A9AD28" w14:textId="77777777" w:rsidR="00DD73BF" w:rsidRDefault="00DD73B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7200" w14:textId="77777777" w:rsidR="00BC4B17" w:rsidRDefault="00BC4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2FED" w14:textId="77777777" w:rsidR="00BC4B17" w:rsidRDefault="00BC4B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4301" w14:textId="77777777" w:rsidR="00BC4B17" w:rsidRDefault="00BC4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17756" w14:textId="77777777" w:rsidR="00DD73BF" w:rsidRDefault="00DD73BF" w:rsidP="00D15E00">
      <w:pPr>
        <w:spacing w:after="0" w:line="240" w:lineRule="auto"/>
      </w:pPr>
      <w:r>
        <w:separator/>
      </w:r>
    </w:p>
  </w:footnote>
  <w:footnote w:type="continuationSeparator" w:id="0">
    <w:p w14:paraId="6D8ABEAD" w14:textId="77777777" w:rsidR="00DD73BF" w:rsidRDefault="00DD73BF" w:rsidP="00D15E00">
      <w:pPr>
        <w:spacing w:after="0" w:line="240" w:lineRule="auto"/>
      </w:pPr>
      <w:r>
        <w:continuationSeparator/>
      </w:r>
    </w:p>
  </w:footnote>
  <w:footnote w:id="1">
    <w:p w14:paraId="1DC87ACB" w14:textId="77777777" w:rsidR="001A5E1B" w:rsidRPr="001A5E1B" w:rsidRDefault="001A5E1B" w:rsidP="009F7EC9">
      <w:pPr>
        <w:pStyle w:val="Tekstprzypisudolnego"/>
        <w:spacing w:line="276" w:lineRule="auto"/>
        <w:rPr>
          <w:rFonts w:cs="Calibri"/>
          <w:i/>
          <w:sz w:val="18"/>
          <w:szCs w:val="18"/>
        </w:rPr>
      </w:pPr>
      <w:r w:rsidRPr="001A5E1B">
        <w:rPr>
          <w:rStyle w:val="Odwoanieprzypisudolnego"/>
          <w:rFonts w:cs="Calibri"/>
          <w:sz w:val="18"/>
          <w:szCs w:val="18"/>
        </w:rPr>
        <w:footnoteRef/>
      </w:r>
      <w:r w:rsidRPr="001A5E1B">
        <w:rPr>
          <w:rFonts w:cs="Calibri"/>
          <w:sz w:val="18"/>
          <w:szCs w:val="18"/>
        </w:rPr>
        <w:t xml:space="preserve"> Źródło definicji – wytyczne ministra właściwego do spraw rozwoju regionalnego </w:t>
      </w:r>
      <w:r w:rsidRPr="001A5E1B">
        <w:rPr>
          <w:rFonts w:cs="Calibri"/>
          <w:i/>
          <w:sz w:val="18"/>
          <w:szCs w:val="18"/>
        </w:rPr>
        <w:t>w zakresie realizacji przedsięwzięć w obszarze włączenia społecznego i zwalczania ubóstwa z wykorzystaniem środków Europejskiego Funduszu Społecznego i Europejskiego Funduszu Rozwoju Regionalnego na lata 2014-2020.</w:t>
      </w:r>
    </w:p>
  </w:footnote>
  <w:footnote w:id="2">
    <w:p w14:paraId="2F1B6D8D" w14:textId="77777777" w:rsidR="001A5E1B" w:rsidRPr="001A5E1B" w:rsidRDefault="001A5E1B" w:rsidP="009F7EC9">
      <w:pPr>
        <w:pStyle w:val="Tekstprzypisudolnego"/>
        <w:spacing w:line="276" w:lineRule="auto"/>
        <w:ind w:right="-1559"/>
        <w:rPr>
          <w:rFonts w:cs="Calibri"/>
          <w:sz w:val="18"/>
          <w:szCs w:val="18"/>
        </w:rPr>
      </w:pPr>
      <w:r w:rsidRPr="001A5E1B">
        <w:rPr>
          <w:rStyle w:val="Odwoanieprzypisudolnego"/>
          <w:rFonts w:cs="Calibri"/>
          <w:sz w:val="18"/>
          <w:szCs w:val="18"/>
        </w:rPr>
        <w:footnoteRef/>
      </w:r>
      <w:r w:rsidRPr="001A5E1B">
        <w:rPr>
          <w:rFonts w:cs="Calibri"/>
          <w:sz w:val="18"/>
          <w:szCs w:val="18"/>
        </w:rPr>
        <w:t xml:space="preserve"> Zapewniających opiekę dzienną/całodobową (o ile stanowią formę usług świadczonych w lokalnej społeczności).</w:t>
      </w:r>
    </w:p>
  </w:footnote>
  <w:footnote w:id="3">
    <w:p w14:paraId="4A468FB7" w14:textId="77777777" w:rsidR="001A5E1B" w:rsidRPr="001A5E1B" w:rsidRDefault="001A5E1B" w:rsidP="009F7EC9">
      <w:pPr>
        <w:pStyle w:val="Tekstprzypisudolnego"/>
        <w:spacing w:line="276" w:lineRule="auto"/>
        <w:rPr>
          <w:rFonts w:cs="Calibri"/>
          <w:i/>
          <w:sz w:val="18"/>
          <w:szCs w:val="18"/>
        </w:rPr>
      </w:pPr>
      <w:r w:rsidRPr="001A5E1B">
        <w:rPr>
          <w:rStyle w:val="Odwoanieprzypisudolnego"/>
          <w:rFonts w:cs="Calibri"/>
          <w:sz w:val="18"/>
          <w:szCs w:val="18"/>
        </w:rPr>
        <w:footnoteRef/>
      </w:r>
      <w:r w:rsidRPr="001A5E1B">
        <w:rPr>
          <w:rFonts w:cs="Calibri"/>
          <w:sz w:val="18"/>
          <w:szCs w:val="18"/>
        </w:rPr>
        <w:t xml:space="preserve"> Źródło definicji – wytyczne ministra właściwego do spraw rozwoju regionalnego </w:t>
      </w:r>
      <w:r w:rsidRPr="001A5E1B">
        <w:rPr>
          <w:rFonts w:cs="Calibri"/>
          <w:i/>
          <w:sz w:val="18"/>
          <w:szCs w:val="18"/>
        </w:rPr>
        <w:t>w zakresie realizacji przedsięwzięć w obszarze włączenia społecznego i zwalczania ubóstwa z wykorzystaniem środków Europejskiego Funduszu Społecznego i Europejskiego Funduszu Rozwoju Regionalnego na lata 2014-2020.</w:t>
      </w:r>
    </w:p>
  </w:footnote>
  <w:footnote w:id="4">
    <w:p w14:paraId="100442FD" w14:textId="77777777" w:rsidR="001A5E1B" w:rsidRPr="00FB53AB" w:rsidRDefault="001A5E1B" w:rsidP="009F7EC9">
      <w:pPr>
        <w:pStyle w:val="Tekstprzypisudolnego"/>
        <w:spacing w:line="276" w:lineRule="auto"/>
        <w:ind w:right="-1559"/>
        <w:rPr>
          <w:rFonts w:cs="Calibri"/>
          <w:sz w:val="18"/>
          <w:szCs w:val="18"/>
        </w:rPr>
      </w:pPr>
      <w:r w:rsidRPr="00FB53AB">
        <w:rPr>
          <w:rStyle w:val="Odwoanieprzypisudolnego"/>
          <w:rFonts w:cs="Calibri"/>
          <w:sz w:val="18"/>
          <w:szCs w:val="18"/>
        </w:rPr>
        <w:footnoteRef/>
      </w:r>
      <w:r w:rsidRPr="00FB53AB">
        <w:rPr>
          <w:rFonts w:cs="Calibri"/>
          <w:sz w:val="18"/>
          <w:szCs w:val="18"/>
        </w:rPr>
        <w:t xml:space="preserve"> Zapewniających opiekę dzienną/całodobową (o ile stanowią formę usług świadczonych w lokalnej społeczności).</w:t>
      </w:r>
    </w:p>
  </w:footnote>
  <w:footnote w:id="5">
    <w:p w14:paraId="0E8A9FC8" w14:textId="77777777" w:rsidR="001A5E1B" w:rsidRPr="00FB53AB" w:rsidRDefault="001A5E1B" w:rsidP="009F7EC9">
      <w:pPr>
        <w:pStyle w:val="Tekstprzypisudolnego"/>
        <w:spacing w:line="276" w:lineRule="auto"/>
        <w:rPr>
          <w:sz w:val="18"/>
          <w:szCs w:val="18"/>
        </w:rPr>
      </w:pPr>
      <w:r w:rsidRPr="00FB53AB">
        <w:rPr>
          <w:rStyle w:val="Odwoanieprzypisudolnego"/>
          <w:sz w:val="18"/>
          <w:szCs w:val="18"/>
        </w:rPr>
        <w:footnoteRef/>
      </w:r>
      <w:r w:rsidRPr="00FB53AB">
        <w:rPr>
          <w:sz w:val="18"/>
          <w:szCs w:val="18"/>
        </w:rPr>
        <w:t xml:space="preserve"> </w:t>
      </w:r>
      <w:r w:rsidRPr="00FB53AB">
        <w:rPr>
          <w:bCs/>
          <w:sz w:val="18"/>
          <w:szCs w:val="18"/>
        </w:rPr>
        <w:t>Wnioskodawca jest zobowiązany do wybrania tego wskaźnika oraz wskazania jego wartości docelowej jeżeli projekt ma pozytywny wpływ na zasadę równości szans i niedyskryminacji.</w:t>
      </w:r>
    </w:p>
    <w:p w14:paraId="77207426" w14:textId="77777777" w:rsidR="001A5E1B" w:rsidRPr="00FB53AB" w:rsidRDefault="001A5E1B" w:rsidP="009F7EC9">
      <w:pPr>
        <w:pStyle w:val="Tekstprzypisudolnego"/>
        <w:spacing w:line="276" w:lineRule="auto"/>
        <w:ind w:right="-1559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B698" w14:textId="77777777" w:rsidR="00BC4B17" w:rsidRDefault="00BC4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5FDA" w14:textId="0B5B5D6B" w:rsidR="00FB53AB" w:rsidRPr="009F7EC9" w:rsidRDefault="00FB53AB" w:rsidP="009F7EC9">
    <w:pPr>
      <w:tabs>
        <w:tab w:val="left" w:pos="9923"/>
      </w:tabs>
      <w:spacing w:after="0" w:line="240" w:lineRule="auto"/>
      <w:rPr>
        <w:bCs/>
        <w:sz w:val="20"/>
        <w:szCs w:val="20"/>
        <w:lang w:val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D8A8" w14:textId="6296D690" w:rsidR="009F7EC9" w:rsidRDefault="009F7EC9" w:rsidP="009F7EC9">
    <w:pPr>
      <w:pStyle w:val="Nagwek"/>
      <w:tabs>
        <w:tab w:val="left" w:pos="708"/>
      </w:tabs>
      <w:spacing w:after="0"/>
      <w:rPr>
        <w:sz w:val="20"/>
        <w:szCs w:val="20"/>
      </w:rPr>
    </w:pPr>
    <w:r w:rsidRPr="006F501D">
      <w:rPr>
        <w:sz w:val="20"/>
        <w:szCs w:val="20"/>
      </w:rPr>
      <w:t xml:space="preserve">Załącznik </w:t>
    </w:r>
    <w:r>
      <w:rPr>
        <w:sz w:val="20"/>
        <w:szCs w:val="20"/>
      </w:rPr>
      <w:t xml:space="preserve">nr 2 </w:t>
    </w:r>
    <w:r w:rsidRPr="006F501D">
      <w:rPr>
        <w:sz w:val="20"/>
        <w:szCs w:val="20"/>
      </w:rPr>
      <w:t xml:space="preserve">do </w:t>
    </w:r>
    <w:r>
      <w:rPr>
        <w:sz w:val="20"/>
        <w:szCs w:val="20"/>
      </w:rPr>
      <w:t xml:space="preserve">uchwały nr </w:t>
    </w:r>
    <w:r w:rsidR="00BC4B17">
      <w:rPr>
        <w:sz w:val="20"/>
        <w:szCs w:val="20"/>
      </w:rPr>
      <w:t>11</w:t>
    </w:r>
    <w:r>
      <w:rPr>
        <w:sz w:val="20"/>
        <w:szCs w:val="20"/>
      </w:rPr>
      <w:t>/2023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</w:t>
    </w:r>
  </w:p>
  <w:p w14:paraId="09668258" w14:textId="09307AF6" w:rsidR="009F7EC9" w:rsidRPr="002C2548" w:rsidRDefault="009F7EC9" w:rsidP="009F7EC9">
    <w:pPr>
      <w:pStyle w:val="Nagwek"/>
      <w:tabs>
        <w:tab w:val="left" w:pos="708"/>
      </w:tabs>
      <w:spacing w:after="0"/>
      <w:rPr>
        <w:sz w:val="20"/>
        <w:szCs w:val="20"/>
      </w:rPr>
    </w:pPr>
    <w:r>
      <w:rPr>
        <w:sz w:val="20"/>
        <w:szCs w:val="20"/>
      </w:rPr>
      <w:t>KM RPO WK-P na lata 2014-2020</w:t>
    </w:r>
  </w:p>
  <w:p w14:paraId="5BBB6207" w14:textId="5A459DB8" w:rsidR="009F7EC9" w:rsidRDefault="009F7EC9">
    <w:pPr>
      <w:pStyle w:val="Nagwek"/>
    </w:pPr>
    <w:r>
      <w:rPr>
        <w:sz w:val="20"/>
        <w:szCs w:val="20"/>
      </w:rPr>
      <w:t xml:space="preserve"> </w:t>
    </w:r>
    <w:r w:rsidRPr="006F501D">
      <w:rPr>
        <w:sz w:val="20"/>
        <w:szCs w:val="20"/>
      </w:rPr>
      <w:t>z dnia</w:t>
    </w:r>
    <w:r>
      <w:rPr>
        <w:sz w:val="20"/>
        <w:szCs w:val="20"/>
      </w:rPr>
      <w:t xml:space="preserve"> 25 kwietnia </w:t>
    </w:r>
    <w:r w:rsidRPr="006F501D">
      <w:rPr>
        <w:sz w:val="20"/>
        <w:szCs w:val="20"/>
      </w:rPr>
      <w:t>20</w:t>
    </w:r>
    <w:r>
      <w:rPr>
        <w:sz w:val="20"/>
        <w:szCs w:val="20"/>
      </w:rPr>
      <w:t>23</w:t>
    </w:r>
    <w:r w:rsidRPr="006F501D">
      <w:rPr>
        <w:sz w:val="20"/>
        <w:szCs w:val="20"/>
      </w:rPr>
      <w:t xml:space="preserve"> r</w:t>
    </w:r>
    <w:r>
      <w:rPr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13E6002"/>
    <w:multiLevelType w:val="hybridMultilevel"/>
    <w:tmpl w:val="3694399E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12093"/>
    <w:multiLevelType w:val="hybridMultilevel"/>
    <w:tmpl w:val="B65A2C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4193D"/>
    <w:multiLevelType w:val="hybridMultilevel"/>
    <w:tmpl w:val="0ACC9792"/>
    <w:lvl w:ilvl="0" w:tplc="E0EE9D4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7F43"/>
    <w:multiLevelType w:val="hybridMultilevel"/>
    <w:tmpl w:val="28AC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1E3B80"/>
    <w:multiLevelType w:val="hybridMultilevel"/>
    <w:tmpl w:val="CC1CC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F4FE4"/>
    <w:multiLevelType w:val="hybridMultilevel"/>
    <w:tmpl w:val="103C1118"/>
    <w:lvl w:ilvl="0" w:tplc="FAD0AF2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A500B"/>
    <w:multiLevelType w:val="hybridMultilevel"/>
    <w:tmpl w:val="B51EC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6522D"/>
    <w:multiLevelType w:val="hybridMultilevel"/>
    <w:tmpl w:val="94B6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674951"/>
    <w:multiLevelType w:val="hybridMultilevel"/>
    <w:tmpl w:val="F6C6B2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B3CCE"/>
    <w:multiLevelType w:val="hybridMultilevel"/>
    <w:tmpl w:val="62722BD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F5620"/>
    <w:multiLevelType w:val="hybridMultilevel"/>
    <w:tmpl w:val="948E70BE"/>
    <w:lvl w:ilvl="0" w:tplc="9960902A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1D3E17AF"/>
    <w:multiLevelType w:val="hybridMultilevel"/>
    <w:tmpl w:val="83FE49AA"/>
    <w:lvl w:ilvl="0" w:tplc="9960902A">
      <w:start w:val="1"/>
      <w:numFmt w:val="bullet"/>
      <w:lvlText w:val=""/>
      <w:lvlJc w:val="left"/>
      <w:pPr>
        <w:ind w:left="11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3" w15:restartNumberingAfterBreak="0">
    <w:nsid w:val="1E56710A"/>
    <w:multiLevelType w:val="hybridMultilevel"/>
    <w:tmpl w:val="2140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70088"/>
    <w:multiLevelType w:val="hybridMultilevel"/>
    <w:tmpl w:val="27C8A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C54F7"/>
    <w:multiLevelType w:val="hybridMultilevel"/>
    <w:tmpl w:val="9D66D1A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373DA"/>
    <w:multiLevelType w:val="hybridMultilevel"/>
    <w:tmpl w:val="26829E30"/>
    <w:lvl w:ilvl="0" w:tplc="14263CA0">
      <w:start w:val="1"/>
      <w:numFmt w:val="decimal"/>
      <w:lvlText w:val="%1)"/>
      <w:lvlJc w:val="left"/>
      <w:pPr>
        <w:ind w:left="753" w:hanging="360"/>
      </w:pPr>
      <w:rPr>
        <w:rFonts w:ascii="Cambria" w:hAnsi="Cambri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2B6A2D73"/>
    <w:multiLevelType w:val="hybridMultilevel"/>
    <w:tmpl w:val="D4F4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8F36F0"/>
    <w:multiLevelType w:val="hybridMultilevel"/>
    <w:tmpl w:val="8762530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725A2F"/>
    <w:multiLevelType w:val="hybridMultilevel"/>
    <w:tmpl w:val="14A2E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57A80"/>
    <w:multiLevelType w:val="hybridMultilevel"/>
    <w:tmpl w:val="96C690E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F01896"/>
    <w:multiLevelType w:val="hybridMultilevel"/>
    <w:tmpl w:val="FC829FD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7C78BB"/>
    <w:multiLevelType w:val="hybridMultilevel"/>
    <w:tmpl w:val="C9287E62"/>
    <w:lvl w:ilvl="0" w:tplc="5BC645B0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32A34F3B"/>
    <w:multiLevelType w:val="hybridMultilevel"/>
    <w:tmpl w:val="59FA32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4EF6054"/>
    <w:multiLevelType w:val="hybridMultilevel"/>
    <w:tmpl w:val="92E4D112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DC0BB0"/>
    <w:multiLevelType w:val="hybridMultilevel"/>
    <w:tmpl w:val="2DA6897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AD7A5A"/>
    <w:multiLevelType w:val="hybridMultilevel"/>
    <w:tmpl w:val="63AC1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F55FA9"/>
    <w:multiLevelType w:val="hybridMultilevel"/>
    <w:tmpl w:val="A2AE95F0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56A49A4"/>
    <w:multiLevelType w:val="hybridMultilevel"/>
    <w:tmpl w:val="D1A2E9B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D0C0F"/>
    <w:multiLevelType w:val="hybridMultilevel"/>
    <w:tmpl w:val="A0740FD0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852386"/>
    <w:multiLevelType w:val="hybridMultilevel"/>
    <w:tmpl w:val="4F84F864"/>
    <w:lvl w:ilvl="0" w:tplc="BDBEB0C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D300C2"/>
    <w:multiLevelType w:val="hybridMultilevel"/>
    <w:tmpl w:val="5EDA4876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E82BA9"/>
    <w:multiLevelType w:val="hybridMultilevel"/>
    <w:tmpl w:val="5C189AA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B2ACE"/>
    <w:multiLevelType w:val="hybridMultilevel"/>
    <w:tmpl w:val="DCD69E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F00527"/>
    <w:multiLevelType w:val="hybridMultilevel"/>
    <w:tmpl w:val="BD20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25F66"/>
    <w:multiLevelType w:val="hybridMultilevel"/>
    <w:tmpl w:val="9EA00394"/>
    <w:lvl w:ilvl="0" w:tplc="5D24BC6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CE062B"/>
    <w:multiLevelType w:val="hybridMultilevel"/>
    <w:tmpl w:val="802EDB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41" w15:restartNumberingAfterBreak="0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6E382E"/>
    <w:multiLevelType w:val="hybridMultilevel"/>
    <w:tmpl w:val="1646D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D77A94"/>
    <w:multiLevelType w:val="hybridMultilevel"/>
    <w:tmpl w:val="671E6A34"/>
    <w:lvl w:ilvl="0" w:tplc="BC824B5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167628"/>
    <w:multiLevelType w:val="hybridMultilevel"/>
    <w:tmpl w:val="669C0802"/>
    <w:lvl w:ilvl="0" w:tplc="9960902A">
      <w:start w:val="1"/>
      <w:numFmt w:val="bullet"/>
      <w:lvlText w:val=""/>
      <w:lvlJc w:val="left"/>
      <w:pPr>
        <w:ind w:left="10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45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6" w15:restartNumberingAfterBreak="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0C37B4"/>
    <w:multiLevelType w:val="hybridMultilevel"/>
    <w:tmpl w:val="8682C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BD6D07"/>
    <w:multiLevelType w:val="hybridMultilevel"/>
    <w:tmpl w:val="F140C366"/>
    <w:lvl w:ilvl="0" w:tplc="5BC645B0">
      <w:start w:val="1"/>
      <w:numFmt w:val="bullet"/>
      <w:lvlText w:val="-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630617BF"/>
    <w:multiLevelType w:val="hybridMultilevel"/>
    <w:tmpl w:val="B2448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194442"/>
    <w:multiLevelType w:val="hybridMultilevel"/>
    <w:tmpl w:val="3F4E2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3B6280"/>
    <w:multiLevelType w:val="hybridMultilevel"/>
    <w:tmpl w:val="2312F1F2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353F02"/>
    <w:multiLevelType w:val="hybridMultilevel"/>
    <w:tmpl w:val="BB727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E05776"/>
    <w:multiLevelType w:val="hybridMultilevel"/>
    <w:tmpl w:val="8A543D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41814D9"/>
    <w:multiLevelType w:val="hybridMultilevel"/>
    <w:tmpl w:val="E26C0D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424134"/>
    <w:multiLevelType w:val="hybridMultilevel"/>
    <w:tmpl w:val="2CBC9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EC41B0"/>
    <w:multiLevelType w:val="hybridMultilevel"/>
    <w:tmpl w:val="21122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D33941"/>
    <w:multiLevelType w:val="hybridMultilevel"/>
    <w:tmpl w:val="787A5B8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6C2750"/>
    <w:multiLevelType w:val="hybridMultilevel"/>
    <w:tmpl w:val="0C4E7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583C63"/>
    <w:multiLevelType w:val="hybridMultilevel"/>
    <w:tmpl w:val="A558B60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872009"/>
    <w:multiLevelType w:val="hybridMultilevel"/>
    <w:tmpl w:val="4BA466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8B7EC2"/>
    <w:multiLevelType w:val="hybridMultilevel"/>
    <w:tmpl w:val="66FC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111051">
    <w:abstractNumId w:val="16"/>
  </w:num>
  <w:num w:numId="2" w16cid:durableId="939410227">
    <w:abstractNumId w:val="53"/>
  </w:num>
  <w:num w:numId="3" w16cid:durableId="683020604">
    <w:abstractNumId w:val="46"/>
  </w:num>
  <w:num w:numId="4" w16cid:durableId="1446654032">
    <w:abstractNumId w:val="41"/>
  </w:num>
  <w:num w:numId="5" w16cid:durableId="944995925">
    <w:abstractNumId w:val="4"/>
  </w:num>
  <w:num w:numId="6" w16cid:durableId="1624770839">
    <w:abstractNumId w:val="30"/>
  </w:num>
  <w:num w:numId="7" w16cid:durableId="816647518">
    <w:abstractNumId w:val="13"/>
  </w:num>
  <w:num w:numId="8" w16cid:durableId="1452937553">
    <w:abstractNumId w:val="49"/>
  </w:num>
  <w:num w:numId="9" w16cid:durableId="1988977323">
    <w:abstractNumId w:val="18"/>
  </w:num>
  <w:num w:numId="10" w16cid:durableId="1117145243">
    <w:abstractNumId w:val="7"/>
  </w:num>
  <w:num w:numId="11" w16cid:durableId="332073081">
    <w:abstractNumId w:val="57"/>
  </w:num>
  <w:num w:numId="12" w16cid:durableId="1588341526">
    <w:abstractNumId w:val="45"/>
  </w:num>
  <w:num w:numId="13" w16cid:durableId="741372923">
    <w:abstractNumId w:val="52"/>
  </w:num>
  <w:num w:numId="14" w16cid:durableId="2120560848">
    <w:abstractNumId w:val="21"/>
  </w:num>
  <w:num w:numId="15" w16cid:durableId="227350772">
    <w:abstractNumId w:val="61"/>
  </w:num>
  <w:num w:numId="16" w16cid:durableId="1786584487">
    <w:abstractNumId w:val="58"/>
  </w:num>
  <w:num w:numId="17" w16cid:durableId="687026143">
    <w:abstractNumId w:val="23"/>
  </w:num>
  <w:num w:numId="18" w16cid:durableId="1020857972">
    <w:abstractNumId w:val="10"/>
  </w:num>
  <w:num w:numId="19" w16cid:durableId="375274545">
    <w:abstractNumId w:val="27"/>
  </w:num>
  <w:num w:numId="20" w16cid:durableId="1187063302">
    <w:abstractNumId w:val="20"/>
  </w:num>
  <w:num w:numId="21" w16cid:durableId="1754889731">
    <w:abstractNumId w:val="60"/>
  </w:num>
  <w:num w:numId="22" w16cid:durableId="1847405093">
    <w:abstractNumId w:val="22"/>
  </w:num>
  <w:num w:numId="23" w16cid:durableId="789518826">
    <w:abstractNumId w:val="55"/>
  </w:num>
  <w:num w:numId="24" w16cid:durableId="510295720">
    <w:abstractNumId w:val="31"/>
  </w:num>
  <w:num w:numId="25" w16cid:durableId="1667047734">
    <w:abstractNumId w:val="14"/>
  </w:num>
  <w:num w:numId="26" w16cid:durableId="932782158">
    <w:abstractNumId w:val="9"/>
  </w:num>
  <w:num w:numId="27" w16cid:durableId="1244030906">
    <w:abstractNumId w:val="37"/>
  </w:num>
  <w:num w:numId="28" w16cid:durableId="153492633">
    <w:abstractNumId w:val="56"/>
  </w:num>
  <w:num w:numId="29" w16cid:durableId="346449218">
    <w:abstractNumId w:val="6"/>
  </w:num>
  <w:num w:numId="30" w16cid:durableId="1023438068">
    <w:abstractNumId w:val="43"/>
  </w:num>
  <w:num w:numId="31" w16cid:durableId="154885278">
    <w:abstractNumId w:val="38"/>
  </w:num>
  <w:num w:numId="32" w16cid:durableId="1541161153">
    <w:abstractNumId w:val="33"/>
  </w:num>
  <w:num w:numId="33" w16cid:durableId="1129664973">
    <w:abstractNumId w:val="5"/>
  </w:num>
  <w:num w:numId="34" w16cid:durableId="716054012">
    <w:abstractNumId w:val="19"/>
  </w:num>
  <w:num w:numId="35" w16cid:durableId="1800297880">
    <w:abstractNumId w:val="15"/>
  </w:num>
  <w:num w:numId="36" w16cid:durableId="1582792589">
    <w:abstractNumId w:val="3"/>
  </w:num>
  <w:num w:numId="37" w16cid:durableId="1337227716">
    <w:abstractNumId w:val="47"/>
  </w:num>
  <w:num w:numId="38" w16cid:durableId="98185956">
    <w:abstractNumId w:val="8"/>
  </w:num>
  <w:num w:numId="39" w16cid:durableId="646783821">
    <w:abstractNumId w:val="42"/>
  </w:num>
  <w:num w:numId="40" w16cid:durableId="349067379">
    <w:abstractNumId w:val="54"/>
  </w:num>
  <w:num w:numId="41" w16cid:durableId="809057303">
    <w:abstractNumId w:val="25"/>
  </w:num>
  <w:num w:numId="42" w16cid:durableId="1299528692">
    <w:abstractNumId w:val="50"/>
  </w:num>
  <w:num w:numId="43" w16cid:durableId="52972376">
    <w:abstractNumId w:val="48"/>
  </w:num>
  <w:num w:numId="44" w16cid:durableId="1600216671">
    <w:abstractNumId w:val="24"/>
  </w:num>
  <w:num w:numId="45" w16cid:durableId="1074283891">
    <w:abstractNumId w:val="28"/>
  </w:num>
  <w:num w:numId="46" w16cid:durableId="1743673950">
    <w:abstractNumId w:val="17"/>
  </w:num>
  <w:num w:numId="47" w16cid:durableId="967131504">
    <w:abstractNumId w:val="59"/>
  </w:num>
  <w:num w:numId="48" w16cid:durableId="692997545">
    <w:abstractNumId w:val="36"/>
  </w:num>
  <w:num w:numId="49" w16cid:durableId="1758668050">
    <w:abstractNumId w:val="39"/>
  </w:num>
  <w:num w:numId="50" w16cid:durableId="838425696">
    <w:abstractNumId w:val="11"/>
  </w:num>
  <w:num w:numId="51" w16cid:durableId="704864333">
    <w:abstractNumId w:val="44"/>
  </w:num>
  <w:num w:numId="52" w16cid:durableId="77340021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1357822">
    <w:abstractNumId w:val="24"/>
  </w:num>
  <w:num w:numId="54" w16cid:durableId="1971278324">
    <w:abstractNumId w:val="35"/>
  </w:num>
  <w:num w:numId="55" w16cid:durableId="1306427207">
    <w:abstractNumId w:val="26"/>
  </w:num>
  <w:num w:numId="56" w16cid:durableId="1350178747">
    <w:abstractNumId w:val="58"/>
  </w:num>
  <w:num w:numId="57" w16cid:durableId="900477603">
    <w:abstractNumId w:val="34"/>
  </w:num>
  <w:num w:numId="58" w16cid:durableId="190267875">
    <w:abstractNumId w:val="51"/>
  </w:num>
  <w:num w:numId="59" w16cid:durableId="2908679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33751874">
    <w:abstractNumId w:val="2"/>
  </w:num>
  <w:num w:numId="61" w16cid:durableId="800196630">
    <w:abstractNumId w:val="1"/>
  </w:num>
  <w:num w:numId="62" w16cid:durableId="845168767">
    <w:abstractNumId w:val="32"/>
  </w:num>
  <w:num w:numId="63" w16cid:durableId="1490318142">
    <w:abstractNumId w:val="29"/>
  </w:num>
  <w:num w:numId="64" w16cid:durableId="2053725558">
    <w:abstractNumId w:val="0"/>
  </w:num>
  <w:num w:numId="65" w16cid:durableId="1802921224">
    <w:abstractNumId w:val="40"/>
  </w:num>
  <w:num w:numId="66" w16cid:durableId="1533574322">
    <w:abstractNumId w:val="1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A22"/>
    <w:rsid w:val="00006005"/>
    <w:rsid w:val="00006418"/>
    <w:rsid w:val="0001383B"/>
    <w:rsid w:val="00023585"/>
    <w:rsid w:val="000252D1"/>
    <w:rsid w:val="00025594"/>
    <w:rsid w:val="00025EA3"/>
    <w:rsid w:val="000262A7"/>
    <w:rsid w:val="00031D3C"/>
    <w:rsid w:val="00033471"/>
    <w:rsid w:val="00040AAD"/>
    <w:rsid w:val="00051FD2"/>
    <w:rsid w:val="0005306C"/>
    <w:rsid w:val="00055887"/>
    <w:rsid w:val="000571F3"/>
    <w:rsid w:val="00062D58"/>
    <w:rsid w:val="00065ADB"/>
    <w:rsid w:val="00065B92"/>
    <w:rsid w:val="00065CAC"/>
    <w:rsid w:val="0006749C"/>
    <w:rsid w:val="00072CBF"/>
    <w:rsid w:val="000745D6"/>
    <w:rsid w:val="0007677F"/>
    <w:rsid w:val="00080630"/>
    <w:rsid w:val="0008212E"/>
    <w:rsid w:val="00092E58"/>
    <w:rsid w:val="00095671"/>
    <w:rsid w:val="00097A75"/>
    <w:rsid w:val="000A2594"/>
    <w:rsid w:val="000A2F5C"/>
    <w:rsid w:val="000A2FBF"/>
    <w:rsid w:val="000A428C"/>
    <w:rsid w:val="000A7951"/>
    <w:rsid w:val="000B1388"/>
    <w:rsid w:val="000B44B1"/>
    <w:rsid w:val="000B4733"/>
    <w:rsid w:val="000C356A"/>
    <w:rsid w:val="000C503E"/>
    <w:rsid w:val="000C6B94"/>
    <w:rsid w:val="000D088D"/>
    <w:rsid w:val="000D1C6E"/>
    <w:rsid w:val="000D1D49"/>
    <w:rsid w:val="000E24DF"/>
    <w:rsid w:val="000E265D"/>
    <w:rsid w:val="000E6A70"/>
    <w:rsid w:val="000F154A"/>
    <w:rsid w:val="000F6A42"/>
    <w:rsid w:val="00105FD1"/>
    <w:rsid w:val="00113A66"/>
    <w:rsid w:val="001166D9"/>
    <w:rsid w:val="00124D14"/>
    <w:rsid w:val="00135F76"/>
    <w:rsid w:val="00140AA6"/>
    <w:rsid w:val="00141B2B"/>
    <w:rsid w:val="001426A7"/>
    <w:rsid w:val="00142EB7"/>
    <w:rsid w:val="00151771"/>
    <w:rsid w:val="001527ED"/>
    <w:rsid w:val="00153BC6"/>
    <w:rsid w:val="00154428"/>
    <w:rsid w:val="00154F68"/>
    <w:rsid w:val="00156D2D"/>
    <w:rsid w:val="001635BB"/>
    <w:rsid w:val="00163F82"/>
    <w:rsid w:val="00163FE2"/>
    <w:rsid w:val="00182E72"/>
    <w:rsid w:val="0019044F"/>
    <w:rsid w:val="00193193"/>
    <w:rsid w:val="00193AEB"/>
    <w:rsid w:val="00194492"/>
    <w:rsid w:val="001975F4"/>
    <w:rsid w:val="001976AC"/>
    <w:rsid w:val="001A0C95"/>
    <w:rsid w:val="001A5E1B"/>
    <w:rsid w:val="001A6B28"/>
    <w:rsid w:val="001B107C"/>
    <w:rsid w:val="001B2F24"/>
    <w:rsid w:val="001B70A9"/>
    <w:rsid w:val="001C5944"/>
    <w:rsid w:val="001C6DC4"/>
    <w:rsid w:val="001D0DD2"/>
    <w:rsid w:val="001D418F"/>
    <w:rsid w:val="001D4E17"/>
    <w:rsid w:val="001E39DE"/>
    <w:rsid w:val="001E3D19"/>
    <w:rsid w:val="001E4F5B"/>
    <w:rsid w:val="001F15B8"/>
    <w:rsid w:val="001F513A"/>
    <w:rsid w:val="001F6008"/>
    <w:rsid w:val="001F6518"/>
    <w:rsid w:val="001F7E7C"/>
    <w:rsid w:val="002137C0"/>
    <w:rsid w:val="00215219"/>
    <w:rsid w:val="00220803"/>
    <w:rsid w:val="00233852"/>
    <w:rsid w:val="00235008"/>
    <w:rsid w:val="002351FA"/>
    <w:rsid w:val="00245CD4"/>
    <w:rsid w:val="00246018"/>
    <w:rsid w:val="00252A8B"/>
    <w:rsid w:val="0025467E"/>
    <w:rsid w:val="00254776"/>
    <w:rsid w:val="00255902"/>
    <w:rsid w:val="002566AC"/>
    <w:rsid w:val="00261F2F"/>
    <w:rsid w:val="00262164"/>
    <w:rsid w:val="00265AF1"/>
    <w:rsid w:val="00270052"/>
    <w:rsid w:val="0027283E"/>
    <w:rsid w:val="00275159"/>
    <w:rsid w:val="0027634D"/>
    <w:rsid w:val="002772B9"/>
    <w:rsid w:val="00285593"/>
    <w:rsid w:val="00286412"/>
    <w:rsid w:val="00292D30"/>
    <w:rsid w:val="002A0D89"/>
    <w:rsid w:val="002A693E"/>
    <w:rsid w:val="002B01C9"/>
    <w:rsid w:val="002B0B09"/>
    <w:rsid w:val="002B52E5"/>
    <w:rsid w:val="002C0B7F"/>
    <w:rsid w:val="002C164B"/>
    <w:rsid w:val="002C51A5"/>
    <w:rsid w:val="002C52E0"/>
    <w:rsid w:val="002C5EA1"/>
    <w:rsid w:val="002D15F0"/>
    <w:rsid w:val="002D2963"/>
    <w:rsid w:val="002E38B7"/>
    <w:rsid w:val="002F3C02"/>
    <w:rsid w:val="00301A05"/>
    <w:rsid w:val="00306A3C"/>
    <w:rsid w:val="00311B1F"/>
    <w:rsid w:val="003215E7"/>
    <w:rsid w:val="00321CCC"/>
    <w:rsid w:val="00322E90"/>
    <w:rsid w:val="00324B0F"/>
    <w:rsid w:val="0032570D"/>
    <w:rsid w:val="00325DFA"/>
    <w:rsid w:val="00337400"/>
    <w:rsid w:val="00337844"/>
    <w:rsid w:val="003407D1"/>
    <w:rsid w:val="00341189"/>
    <w:rsid w:val="0034423D"/>
    <w:rsid w:val="00351AD9"/>
    <w:rsid w:val="00352612"/>
    <w:rsid w:val="00352EF3"/>
    <w:rsid w:val="00356447"/>
    <w:rsid w:val="00365B85"/>
    <w:rsid w:val="0036718A"/>
    <w:rsid w:val="003714D3"/>
    <w:rsid w:val="00372122"/>
    <w:rsid w:val="00376E40"/>
    <w:rsid w:val="00384191"/>
    <w:rsid w:val="0038612F"/>
    <w:rsid w:val="00386E53"/>
    <w:rsid w:val="00394B96"/>
    <w:rsid w:val="00396426"/>
    <w:rsid w:val="003A40E8"/>
    <w:rsid w:val="003B50F2"/>
    <w:rsid w:val="003C6C9D"/>
    <w:rsid w:val="003C6E04"/>
    <w:rsid w:val="003C6F56"/>
    <w:rsid w:val="003C7741"/>
    <w:rsid w:val="003D1B9C"/>
    <w:rsid w:val="003D2344"/>
    <w:rsid w:val="003D3B2A"/>
    <w:rsid w:val="003D3E4F"/>
    <w:rsid w:val="003D407C"/>
    <w:rsid w:val="003E3DD2"/>
    <w:rsid w:val="003E6614"/>
    <w:rsid w:val="003F6593"/>
    <w:rsid w:val="0040282B"/>
    <w:rsid w:val="00404873"/>
    <w:rsid w:val="00412E1A"/>
    <w:rsid w:val="00417D73"/>
    <w:rsid w:val="00421EB5"/>
    <w:rsid w:val="00422212"/>
    <w:rsid w:val="00422242"/>
    <w:rsid w:val="0042249E"/>
    <w:rsid w:val="004315D6"/>
    <w:rsid w:val="0043645E"/>
    <w:rsid w:val="00441597"/>
    <w:rsid w:val="00441F4B"/>
    <w:rsid w:val="0044476F"/>
    <w:rsid w:val="00446750"/>
    <w:rsid w:val="00457A85"/>
    <w:rsid w:val="00461E8F"/>
    <w:rsid w:val="004622E6"/>
    <w:rsid w:val="004640A6"/>
    <w:rsid w:val="004701A6"/>
    <w:rsid w:val="0047041F"/>
    <w:rsid w:val="004715EE"/>
    <w:rsid w:val="00471B60"/>
    <w:rsid w:val="00487472"/>
    <w:rsid w:val="0049024D"/>
    <w:rsid w:val="004918E5"/>
    <w:rsid w:val="00497C10"/>
    <w:rsid w:val="004A0942"/>
    <w:rsid w:val="004A5EC7"/>
    <w:rsid w:val="004B2070"/>
    <w:rsid w:val="004B4E52"/>
    <w:rsid w:val="004B6A17"/>
    <w:rsid w:val="004C0396"/>
    <w:rsid w:val="004D2A93"/>
    <w:rsid w:val="004D46F7"/>
    <w:rsid w:val="004D63FE"/>
    <w:rsid w:val="004D6491"/>
    <w:rsid w:val="004E0C1B"/>
    <w:rsid w:val="004E1DDB"/>
    <w:rsid w:val="004E5591"/>
    <w:rsid w:val="004F786E"/>
    <w:rsid w:val="00512CD4"/>
    <w:rsid w:val="00515F41"/>
    <w:rsid w:val="00517B68"/>
    <w:rsid w:val="00521875"/>
    <w:rsid w:val="00526A4A"/>
    <w:rsid w:val="00527A27"/>
    <w:rsid w:val="005324A6"/>
    <w:rsid w:val="0053359A"/>
    <w:rsid w:val="00540826"/>
    <w:rsid w:val="00540ED7"/>
    <w:rsid w:val="005421EE"/>
    <w:rsid w:val="00543604"/>
    <w:rsid w:val="00547DF9"/>
    <w:rsid w:val="0055115D"/>
    <w:rsid w:val="005511B7"/>
    <w:rsid w:val="00565645"/>
    <w:rsid w:val="00566143"/>
    <w:rsid w:val="0056672D"/>
    <w:rsid w:val="00570601"/>
    <w:rsid w:val="0057305D"/>
    <w:rsid w:val="00580092"/>
    <w:rsid w:val="005852DE"/>
    <w:rsid w:val="00586BF5"/>
    <w:rsid w:val="00593B89"/>
    <w:rsid w:val="00595500"/>
    <w:rsid w:val="00596C36"/>
    <w:rsid w:val="005971D7"/>
    <w:rsid w:val="005A320E"/>
    <w:rsid w:val="005D0B73"/>
    <w:rsid w:val="005D1733"/>
    <w:rsid w:val="005D4133"/>
    <w:rsid w:val="005D76E8"/>
    <w:rsid w:val="005D7E01"/>
    <w:rsid w:val="005E42B5"/>
    <w:rsid w:val="005E531E"/>
    <w:rsid w:val="005F20C4"/>
    <w:rsid w:val="005F242F"/>
    <w:rsid w:val="005F3EA6"/>
    <w:rsid w:val="005F3F4E"/>
    <w:rsid w:val="005F4258"/>
    <w:rsid w:val="005F531D"/>
    <w:rsid w:val="00600914"/>
    <w:rsid w:val="006011A9"/>
    <w:rsid w:val="0060424D"/>
    <w:rsid w:val="00605B12"/>
    <w:rsid w:val="006071E7"/>
    <w:rsid w:val="006105C2"/>
    <w:rsid w:val="00611B90"/>
    <w:rsid w:val="00611FC5"/>
    <w:rsid w:val="00621F22"/>
    <w:rsid w:val="00622716"/>
    <w:rsid w:val="00630513"/>
    <w:rsid w:val="00632E8F"/>
    <w:rsid w:val="00633E80"/>
    <w:rsid w:val="006357A1"/>
    <w:rsid w:val="00636758"/>
    <w:rsid w:val="006373F0"/>
    <w:rsid w:val="00641351"/>
    <w:rsid w:val="00641AC1"/>
    <w:rsid w:val="00645DB3"/>
    <w:rsid w:val="00646A1D"/>
    <w:rsid w:val="00646F63"/>
    <w:rsid w:val="00650CA2"/>
    <w:rsid w:val="00656775"/>
    <w:rsid w:val="006648E9"/>
    <w:rsid w:val="00665424"/>
    <w:rsid w:val="006669F9"/>
    <w:rsid w:val="0066704E"/>
    <w:rsid w:val="00673AEC"/>
    <w:rsid w:val="006753FB"/>
    <w:rsid w:val="00686B40"/>
    <w:rsid w:val="006921FF"/>
    <w:rsid w:val="006934A0"/>
    <w:rsid w:val="006939B2"/>
    <w:rsid w:val="006946A9"/>
    <w:rsid w:val="00697FFB"/>
    <w:rsid w:val="006A3769"/>
    <w:rsid w:val="006A3D01"/>
    <w:rsid w:val="006B69D8"/>
    <w:rsid w:val="006C2276"/>
    <w:rsid w:val="006C550A"/>
    <w:rsid w:val="006C6F36"/>
    <w:rsid w:val="006E1169"/>
    <w:rsid w:val="006F535D"/>
    <w:rsid w:val="006F6D1D"/>
    <w:rsid w:val="00703FD4"/>
    <w:rsid w:val="00712CA7"/>
    <w:rsid w:val="007133BD"/>
    <w:rsid w:val="0071523A"/>
    <w:rsid w:val="007165DE"/>
    <w:rsid w:val="007210DB"/>
    <w:rsid w:val="0072400A"/>
    <w:rsid w:val="00725A91"/>
    <w:rsid w:val="00726CD4"/>
    <w:rsid w:val="00727389"/>
    <w:rsid w:val="007304A4"/>
    <w:rsid w:val="00735CB7"/>
    <w:rsid w:val="007373B3"/>
    <w:rsid w:val="00741FF9"/>
    <w:rsid w:val="00742F89"/>
    <w:rsid w:val="007447D0"/>
    <w:rsid w:val="00746A4B"/>
    <w:rsid w:val="00746F23"/>
    <w:rsid w:val="00762E0D"/>
    <w:rsid w:val="007631C7"/>
    <w:rsid w:val="00766BCB"/>
    <w:rsid w:val="00772A48"/>
    <w:rsid w:val="00791EDE"/>
    <w:rsid w:val="0079403C"/>
    <w:rsid w:val="007943B3"/>
    <w:rsid w:val="00797C72"/>
    <w:rsid w:val="007A0201"/>
    <w:rsid w:val="007A0E3A"/>
    <w:rsid w:val="007A1707"/>
    <w:rsid w:val="007A17C0"/>
    <w:rsid w:val="007A319D"/>
    <w:rsid w:val="007A68B9"/>
    <w:rsid w:val="007B0C8B"/>
    <w:rsid w:val="007B116D"/>
    <w:rsid w:val="007C1D1A"/>
    <w:rsid w:val="007D078C"/>
    <w:rsid w:val="007D11B6"/>
    <w:rsid w:val="007E1630"/>
    <w:rsid w:val="007E43E4"/>
    <w:rsid w:val="007E4AED"/>
    <w:rsid w:val="007E4EBF"/>
    <w:rsid w:val="007E5249"/>
    <w:rsid w:val="007E5DFD"/>
    <w:rsid w:val="007F200A"/>
    <w:rsid w:val="008010DE"/>
    <w:rsid w:val="0080467F"/>
    <w:rsid w:val="00806EB3"/>
    <w:rsid w:val="0080732D"/>
    <w:rsid w:val="00807C5A"/>
    <w:rsid w:val="008125B6"/>
    <w:rsid w:val="00814FCE"/>
    <w:rsid w:val="0081712E"/>
    <w:rsid w:val="008171BE"/>
    <w:rsid w:val="0082245D"/>
    <w:rsid w:val="008239CA"/>
    <w:rsid w:val="00830252"/>
    <w:rsid w:val="008363FD"/>
    <w:rsid w:val="00837C11"/>
    <w:rsid w:val="008404C2"/>
    <w:rsid w:val="008450AA"/>
    <w:rsid w:val="00850DEF"/>
    <w:rsid w:val="008519C0"/>
    <w:rsid w:val="00851B01"/>
    <w:rsid w:val="00852E7F"/>
    <w:rsid w:val="00863B67"/>
    <w:rsid w:val="00873173"/>
    <w:rsid w:val="00874CDB"/>
    <w:rsid w:val="008778E4"/>
    <w:rsid w:val="00880E14"/>
    <w:rsid w:val="008812BD"/>
    <w:rsid w:val="00881593"/>
    <w:rsid w:val="0088240E"/>
    <w:rsid w:val="0088247F"/>
    <w:rsid w:val="00883918"/>
    <w:rsid w:val="00891D58"/>
    <w:rsid w:val="008A3E9F"/>
    <w:rsid w:val="008B2A82"/>
    <w:rsid w:val="008B4C7D"/>
    <w:rsid w:val="008B7A28"/>
    <w:rsid w:val="008C0D78"/>
    <w:rsid w:val="008C466A"/>
    <w:rsid w:val="008C6BBF"/>
    <w:rsid w:val="008D1716"/>
    <w:rsid w:val="008D404A"/>
    <w:rsid w:val="008D40F2"/>
    <w:rsid w:val="008E2573"/>
    <w:rsid w:val="008E4A7E"/>
    <w:rsid w:val="008F1B4F"/>
    <w:rsid w:val="008F4F2E"/>
    <w:rsid w:val="00906110"/>
    <w:rsid w:val="0091746B"/>
    <w:rsid w:val="00917AFD"/>
    <w:rsid w:val="00920064"/>
    <w:rsid w:val="00920335"/>
    <w:rsid w:val="00922FB3"/>
    <w:rsid w:val="00925220"/>
    <w:rsid w:val="00930015"/>
    <w:rsid w:val="00930E55"/>
    <w:rsid w:val="00934142"/>
    <w:rsid w:val="00945A1F"/>
    <w:rsid w:val="009510F2"/>
    <w:rsid w:val="0095605F"/>
    <w:rsid w:val="0095690B"/>
    <w:rsid w:val="00960AFD"/>
    <w:rsid w:val="00960DFD"/>
    <w:rsid w:val="009613E0"/>
    <w:rsid w:val="0096565B"/>
    <w:rsid w:val="009660F3"/>
    <w:rsid w:val="00970292"/>
    <w:rsid w:val="00970428"/>
    <w:rsid w:val="00973103"/>
    <w:rsid w:val="00977777"/>
    <w:rsid w:val="00980E82"/>
    <w:rsid w:val="009823A4"/>
    <w:rsid w:val="009846D9"/>
    <w:rsid w:val="00986E24"/>
    <w:rsid w:val="00990DE0"/>
    <w:rsid w:val="00992559"/>
    <w:rsid w:val="00996F6B"/>
    <w:rsid w:val="009A14C5"/>
    <w:rsid w:val="009A23AD"/>
    <w:rsid w:val="009A3567"/>
    <w:rsid w:val="009A79E4"/>
    <w:rsid w:val="009B3236"/>
    <w:rsid w:val="009B563B"/>
    <w:rsid w:val="009B59EA"/>
    <w:rsid w:val="009C0661"/>
    <w:rsid w:val="009C3CF4"/>
    <w:rsid w:val="009C4565"/>
    <w:rsid w:val="009C618C"/>
    <w:rsid w:val="009C6C18"/>
    <w:rsid w:val="009D1B9A"/>
    <w:rsid w:val="009F0EBC"/>
    <w:rsid w:val="009F2747"/>
    <w:rsid w:val="009F3E03"/>
    <w:rsid w:val="009F7EC9"/>
    <w:rsid w:val="00A02391"/>
    <w:rsid w:val="00A0311A"/>
    <w:rsid w:val="00A05B3D"/>
    <w:rsid w:val="00A0770B"/>
    <w:rsid w:val="00A12382"/>
    <w:rsid w:val="00A12989"/>
    <w:rsid w:val="00A13E26"/>
    <w:rsid w:val="00A15576"/>
    <w:rsid w:val="00A17816"/>
    <w:rsid w:val="00A26E41"/>
    <w:rsid w:val="00A33A84"/>
    <w:rsid w:val="00A37190"/>
    <w:rsid w:val="00A3793F"/>
    <w:rsid w:val="00A413C8"/>
    <w:rsid w:val="00A42851"/>
    <w:rsid w:val="00A42C52"/>
    <w:rsid w:val="00A4361A"/>
    <w:rsid w:val="00A44B12"/>
    <w:rsid w:val="00A507E5"/>
    <w:rsid w:val="00A51980"/>
    <w:rsid w:val="00A600CF"/>
    <w:rsid w:val="00A60A0A"/>
    <w:rsid w:val="00A619C2"/>
    <w:rsid w:val="00A62F71"/>
    <w:rsid w:val="00A65E7B"/>
    <w:rsid w:val="00A6754E"/>
    <w:rsid w:val="00A76254"/>
    <w:rsid w:val="00A76EEE"/>
    <w:rsid w:val="00A77D26"/>
    <w:rsid w:val="00A81614"/>
    <w:rsid w:val="00A83990"/>
    <w:rsid w:val="00A86418"/>
    <w:rsid w:val="00A87B77"/>
    <w:rsid w:val="00A90AD6"/>
    <w:rsid w:val="00A91B01"/>
    <w:rsid w:val="00AA53FB"/>
    <w:rsid w:val="00AA5FD4"/>
    <w:rsid w:val="00AA6F1F"/>
    <w:rsid w:val="00AB30C9"/>
    <w:rsid w:val="00AB463D"/>
    <w:rsid w:val="00AB64D3"/>
    <w:rsid w:val="00AC158E"/>
    <w:rsid w:val="00AC18E1"/>
    <w:rsid w:val="00AC47DE"/>
    <w:rsid w:val="00AC60D5"/>
    <w:rsid w:val="00AC6A2B"/>
    <w:rsid w:val="00AD1D69"/>
    <w:rsid w:val="00AD54F9"/>
    <w:rsid w:val="00AD68AC"/>
    <w:rsid w:val="00AE0128"/>
    <w:rsid w:val="00AE314E"/>
    <w:rsid w:val="00AE3996"/>
    <w:rsid w:val="00AE4A0F"/>
    <w:rsid w:val="00AE6761"/>
    <w:rsid w:val="00AF0E2E"/>
    <w:rsid w:val="00AF17F9"/>
    <w:rsid w:val="00AF648D"/>
    <w:rsid w:val="00B007B0"/>
    <w:rsid w:val="00B02630"/>
    <w:rsid w:val="00B0325D"/>
    <w:rsid w:val="00B051A2"/>
    <w:rsid w:val="00B058C9"/>
    <w:rsid w:val="00B05E95"/>
    <w:rsid w:val="00B06CD2"/>
    <w:rsid w:val="00B0708D"/>
    <w:rsid w:val="00B10908"/>
    <w:rsid w:val="00B12ABE"/>
    <w:rsid w:val="00B156F8"/>
    <w:rsid w:val="00B22CC1"/>
    <w:rsid w:val="00B2393B"/>
    <w:rsid w:val="00B30C26"/>
    <w:rsid w:val="00B3183E"/>
    <w:rsid w:val="00B3693C"/>
    <w:rsid w:val="00B41B8E"/>
    <w:rsid w:val="00B41BA0"/>
    <w:rsid w:val="00B428A6"/>
    <w:rsid w:val="00B446EF"/>
    <w:rsid w:val="00B45424"/>
    <w:rsid w:val="00B530C7"/>
    <w:rsid w:val="00B578ED"/>
    <w:rsid w:val="00B60358"/>
    <w:rsid w:val="00B6035B"/>
    <w:rsid w:val="00B6218A"/>
    <w:rsid w:val="00B64080"/>
    <w:rsid w:val="00B64F9D"/>
    <w:rsid w:val="00B661CF"/>
    <w:rsid w:val="00B66EB0"/>
    <w:rsid w:val="00B72054"/>
    <w:rsid w:val="00B73629"/>
    <w:rsid w:val="00B737FB"/>
    <w:rsid w:val="00B753E2"/>
    <w:rsid w:val="00B836C3"/>
    <w:rsid w:val="00B91A36"/>
    <w:rsid w:val="00B95F13"/>
    <w:rsid w:val="00B96C45"/>
    <w:rsid w:val="00BA3275"/>
    <w:rsid w:val="00BA5A5F"/>
    <w:rsid w:val="00BA7C9F"/>
    <w:rsid w:val="00BB1C3F"/>
    <w:rsid w:val="00BB2653"/>
    <w:rsid w:val="00BB411B"/>
    <w:rsid w:val="00BB7498"/>
    <w:rsid w:val="00BB783F"/>
    <w:rsid w:val="00BC1885"/>
    <w:rsid w:val="00BC3F23"/>
    <w:rsid w:val="00BC4532"/>
    <w:rsid w:val="00BC4B17"/>
    <w:rsid w:val="00BD1642"/>
    <w:rsid w:val="00BE4057"/>
    <w:rsid w:val="00BE7209"/>
    <w:rsid w:val="00BF2018"/>
    <w:rsid w:val="00BF36A9"/>
    <w:rsid w:val="00BF5740"/>
    <w:rsid w:val="00BF5FBC"/>
    <w:rsid w:val="00C03100"/>
    <w:rsid w:val="00C04574"/>
    <w:rsid w:val="00C05FC7"/>
    <w:rsid w:val="00C118D5"/>
    <w:rsid w:val="00C1212E"/>
    <w:rsid w:val="00C14262"/>
    <w:rsid w:val="00C145A1"/>
    <w:rsid w:val="00C246AA"/>
    <w:rsid w:val="00C27803"/>
    <w:rsid w:val="00C318DE"/>
    <w:rsid w:val="00C36ECE"/>
    <w:rsid w:val="00C40501"/>
    <w:rsid w:val="00C43920"/>
    <w:rsid w:val="00C43C1E"/>
    <w:rsid w:val="00C43F8E"/>
    <w:rsid w:val="00C60C6B"/>
    <w:rsid w:val="00C6539F"/>
    <w:rsid w:val="00C725EE"/>
    <w:rsid w:val="00C729E7"/>
    <w:rsid w:val="00C84030"/>
    <w:rsid w:val="00C85BA4"/>
    <w:rsid w:val="00C867DF"/>
    <w:rsid w:val="00C9076D"/>
    <w:rsid w:val="00C90D8D"/>
    <w:rsid w:val="00C9328D"/>
    <w:rsid w:val="00C9485C"/>
    <w:rsid w:val="00CA0ACA"/>
    <w:rsid w:val="00CA6A80"/>
    <w:rsid w:val="00CA6CEC"/>
    <w:rsid w:val="00CA76DC"/>
    <w:rsid w:val="00CB4741"/>
    <w:rsid w:val="00CB4A03"/>
    <w:rsid w:val="00CB5DFA"/>
    <w:rsid w:val="00CB5E77"/>
    <w:rsid w:val="00CB72C1"/>
    <w:rsid w:val="00CC3C3C"/>
    <w:rsid w:val="00CC3CB7"/>
    <w:rsid w:val="00CC520D"/>
    <w:rsid w:val="00CD1AFA"/>
    <w:rsid w:val="00CD1C6A"/>
    <w:rsid w:val="00CD2722"/>
    <w:rsid w:val="00CD33A7"/>
    <w:rsid w:val="00CD4FC5"/>
    <w:rsid w:val="00CE34E1"/>
    <w:rsid w:val="00CF1491"/>
    <w:rsid w:val="00CF2C24"/>
    <w:rsid w:val="00CF4F9A"/>
    <w:rsid w:val="00CF549B"/>
    <w:rsid w:val="00D02274"/>
    <w:rsid w:val="00D03556"/>
    <w:rsid w:val="00D035BC"/>
    <w:rsid w:val="00D04006"/>
    <w:rsid w:val="00D053FD"/>
    <w:rsid w:val="00D07FDF"/>
    <w:rsid w:val="00D11EC3"/>
    <w:rsid w:val="00D14328"/>
    <w:rsid w:val="00D14F22"/>
    <w:rsid w:val="00D15E00"/>
    <w:rsid w:val="00D17A5B"/>
    <w:rsid w:val="00D17F4C"/>
    <w:rsid w:val="00D3120E"/>
    <w:rsid w:val="00D35024"/>
    <w:rsid w:val="00D3793C"/>
    <w:rsid w:val="00D52B3C"/>
    <w:rsid w:val="00D54A2A"/>
    <w:rsid w:val="00D553E0"/>
    <w:rsid w:val="00D75C4C"/>
    <w:rsid w:val="00D770E2"/>
    <w:rsid w:val="00D778C6"/>
    <w:rsid w:val="00D81095"/>
    <w:rsid w:val="00D82BCD"/>
    <w:rsid w:val="00D85429"/>
    <w:rsid w:val="00D86099"/>
    <w:rsid w:val="00D9019F"/>
    <w:rsid w:val="00D91C73"/>
    <w:rsid w:val="00D92FDF"/>
    <w:rsid w:val="00DA32EF"/>
    <w:rsid w:val="00DB0801"/>
    <w:rsid w:val="00DB27E6"/>
    <w:rsid w:val="00DB2936"/>
    <w:rsid w:val="00DB35E8"/>
    <w:rsid w:val="00DB5377"/>
    <w:rsid w:val="00DB5D60"/>
    <w:rsid w:val="00DC0863"/>
    <w:rsid w:val="00DC3B90"/>
    <w:rsid w:val="00DC4010"/>
    <w:rsid w:val="00DD0BE6"/>
    <w:rsid w:val="00DD3111"/>
    <w:rsid w:val="00DD32EB"/>
    <w:rsid w:val="00DD33A2"/>
    <w:rsid w:val="00DD3573"/>
    <w:rsid w:val="00DD421C"/>
    <w:rsid w:val="00DD4560"/>
    <w:rsid w:val="00DD57C7"/>
    <w:rsid w:val="00DD73BF"/>
    <w:rsid w:val="00DE402A"/>
    <w:rsid w:val="00DF65AA"/>
    <w:rsid w:val="00E03C5E"/>
    <w:rsid w:val="00E04AA2"/>
    <w:rsid w:val="00E055E5"/>
    <w:rsid w:val="00E137A9"/>
    <w:rsid w:val="00E15AEB"/>
    <w:rsid w:val="00E21A9A"/>
    <w:rsid w:val="00E21E0A"/>
    <w:rsid w:val="00E27A11"/>
    <w:rsid w:val="00E33EE4"/>
    <w:rsid w:val="00E35807"/>
    <w:rsid w:val="00E4021F"/>
    <w:rsid w:val="00E42379"/>
    <w:rsid w:val="00E440DF"/>
    <w:rsid w:val="00E44B1E"/>
    <w:rsid w:val="00E45B10"/>
    <w:rsid w:val="00E5244E"/>
    <w:rsid w:val="00E55731"/>
    <w:rsid w:val="00E5692F"/>
    <w:rsid w:val="00E57BAA"/>
    <w:rsid w:val="00E61D86"/>
    <w:rsid w:val="00E62C18"/>
    <w:rsid w:val="00E633AB"/>
    <w:rsid w:val="00E6480F"/>
    <w:rsid w:val="00E65791"/>
    <w:rsid w:val="00E74C53"/>
    <w:rsid w:val="00E75722"/>
    <w:rsid w:val="00E80EE3"/>
    <w:rsid w:val="00E80F34"/>
    <w:rsid w:val="00E816BC"/>
    <w:rsid w:val="00E8257F"/>
    <w:rsid w:val="00E85E45"/>
    <w:rsid w:val="00E90D4F"/>
    <w:rsid w:val="00E91FA1"/>
    <w:rsid w:val="00E934A5"/>
    <w:rsid w:val="00E95A3D"/>
    <w:rsid w:val="00E97FB3"/>
    <w:rsid w:val="00EA1591"/>
    <w:rsid w:val="00EA2F2A"/>
    <w:rsid w:val="00EA42F3"/>
    <w:rsid w:val="00EA4876"/>
    <w:rsid w:val="00EA4CAD"/>
    <w:rsid w:val="00EA6A31"/>
    <w:rsid w:val="00EA7DBB"/>
    <w:rsid w:val="00EB2B9B"/>
    <w:rsid w:val="00EB5BA1"/>
    <w:rsid w:val="00EB74AD"/>
    <w:rsid w:val="00EC1339"/>
    <w:rsid w:val="00EC3FE7"/>
    <w:rsid w:val="00EC4028"/>
    <w:rsid w:val="00EC4DA7"/>
    <w:rsid w:val="00EC6458"/>
    <w:rsid w:val="00ED2252"/>
    <w:rsid w:val="00ED4251"/>
    <w:rsid w:val="00EE0F7E"/>
    <w:rsid w:val="00EE17DD"/>
    <w:rsid w:val="00EE2B0C"/>
    <w:rsid w:val="00EF31D1"/>
    <w:rsid w:val="00EF3AB7"/>
    <w:rsid w:val="00EF5BE9"/>
    <w:rsid w:val="00EF7C1D"/>
    <w:rsid w:val="00F0096F"/>
    <w:rsid w:val="00F01220"/>
    <w:rsid w:val="00F027E4"/>
    <w:rsid w:val="00F0551B"/>
    <w:rsid w:val="00F066F1"/>
    <w:rsid w:val="00F11DB0"/>
    <w:rsid w:val="00F155E6"/>
    <w:rsid w:val="00F16C2C"/>
    <w:rsid w:val="00F312B1"/>
    <w:rsid w:val="00F32A3C"/>
    <w:rsid w:val="00F333BA"/>
    <w:rsid w:val="00F33D17"/>
    <w:rsid w:val="00F344D9"/>
    <w:rsid w:val="00F43E8D"/>
    <w:rsid w:val="00F47861"/>
    <w:rsid w:val="00F56F14"/>
    <w:rsid w:val="00F6013C"/>
    <w:rsid w:val="00F62059"/>
    <w:rsid w:val="00F626D0"/>
    <w:rsid w:val="00F64DCA"/>
    <w:rsid w:val="00F66E01"/>
    <w:rsid w:val="00F67486"/>
    <w:rsid w:val="00F676D2"/>
    <w:rsid w:val="00F71957"/>
    <w:rsid w:val="00F73374"/>
    <w:rsid w:val="00F77550"/>
    <w:rsid w:val="00F81848"/>
    <w:rsid w:val="00F84078"/>
    <w:rsid w:val="00F85205"/>
    <w:rsid w:val="00F909DC"/>
    <w:rsid w:val="00F93099"/>
    <w:rsid w:val="00F96DB4"/>
    <w:rsid w:val="00F97229"/>
    <w:rsid w:val="00FA53D4"/>
    <w:rsid w:val="00FA7530"/>
    <w:rsid w:val="00FB0B9F"/>
    <w:rsid w:val="00FB1D65"/>
    <w:rsid w:val="00FB40ED"/>
    <w:rsid w:val="00FB53AB"/>
    <w:rsid w:val="00FC3FAA"/>
    <w:rsid w:val="00FD012A"/>
    <w:rsid w:val="00FD5DC3"/>
    <w:rsid w:val="00FD684F"/>
    <w:rsid w:val="00FD6AE9"/>
    <w:rsid w:val="00FE06D0"/>
    <w:rsid w:val="00FE1E44"/>
    <w:rsid w:val="00FE5149"/>
    <w:rsid w:val="00FE5BA7"/>
    <w:rsid w:val="00FE6071"/>
    <w:rsid w:val="00FE73F8"/>
    <w:rsid w:val="00FF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2296F9"/>
  <w15:docId w15:val="{9ED914A2-124B-4A5D-A1A8-AF926756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5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5E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C5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5EA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5E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EA1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3D407C"/>
  </w:style>
  <w:style w:type="paragraph" w:styleId="Tekstpodstawowy">
    <w:name w:val="Body Text"/>
    <w:basedOn w:val="Normalny"/>
    <w:link w:val="TekstpodstawowyZnak"/>
    <w:uiPriority w:val="99"/>
    <w:unhideWhenUsed/>
    <w:rsid w:val="00DB5D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5D6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A68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A68B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4258"/>
    <w:rPr>
      <w:color w:val="605E5C"/>
      <w:shd w:val="clear" w:color="auto" w:fill="E1DFDD"/>
    </w:rPr>
  </w:style>
  <w:style w:type="character" w:customStyle="1" w:styleId="cf01">
    <w:name w:val="cf01"/>
    <w:rsid w:val="00CB5E77"/>
    <w:rPr>
      <w:rFonts w:ascii="Segoe UI" w:hAnsi="Segoe UI" w:cs="Segoe UI" w:hint="default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5E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5E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950B1-1FBD-4E20-A8CC-30A6EEF3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1270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8873</CharactersWithSpaces>
  <SharedDoc>false</SharedDoc>
  <HLinks>
    <vt:vector size="6" baseType="variant">
      <vt:variant>
        <vt:i4>1704056</vt:i4>
      </vt:variant>
      <vt:variant>
        <vt:i4>0</vt:i4>
      </vt:variant>
      <vt:variant>
        <vt:i4>0</vt:i4>
      </vt:variant>
      <vt:variant>
        <vt:i4>5</vt:i4>
      </vt:variant>
      <vt:variant>
        <vt:lpwstr>http://prawo.legeo.pl/prawo/ustawa-z-dnia-7-lipca-1994-r-prawo-budowlane/?on=30.05.2014&amp;is_current=1&amp;section=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Dorota Sawicka</cp:lastModifiedBy>
  <cp:revision>46</cp:revision>
  <cp:lastPrinted>2023-04-04T09:20:00Z</cp:lastPrinted>
  <dcterms:created xsi:type="dcterms:W3CDTF">2023-03-27T09:41:00Z</dcterms:created>
  <dcterms:modified xsi:type="dcterms:W3CDTF">2023-05-04T10:24:00Z</dcterms:modified>
</cp:coreProperties>
</file>