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84ED" w14:textId="77777777" w:rsidR="005B0141" w:rsidRPr="005B0141" w:rsidRDefault="005B0141" w:rsidP="005B0141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5B0141">
        <w:rPr>
          <w:rFonts w:ascii="Calibri" w:eastAsia="Calibri" w:hAnsi="Calibri" w:cs="Times New Roman"/>
          <w:sz w:val="20"/>
          <w:szCs w:val="20"/>
        </w:rPr>
        <w:tab/>
      </w:r>
    </w:p>
    <w:p w14:paraId="78785BF9" w14:textId="459C914F" w:rsidR="005B0141" w:rsidRPr="005B0141" w:rsidRDefault="005B0141" w:rsidP="005B0141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5B0141">
        <w:rPr>
          <w:rFonts w:ascii="Calibri" w:eastAsia="Calibri" w:hAnsi="Calibri" w:cs="Times New Roman"/>
          <w:sz w:val="20"/>
          <w:szCs w:val="20"/>
        </w:rPr>
        <w:tab/>
        <w:t xml:space="preserve">Załącznik nr 1 do uchwały Nr </w:t>
      </w:r>
      <w:r w:rsidR="001E0F5C">
        <w:rPr>
          <w:rFonts w:ascii="Calibri" w:eastAsia="Calibri" w:hAnsi="Calibri" w:cs="Times New Roman"/>
          <w:sz w:val="20"/>
          <w:szCs w:val="20"/>
        </w:rPr>
        <w:t>2</w:t>
      </w:r>
      <w:r w:rsidRPr="005B0141">
        <w:rPr>
          <w:rFonts w:ascii="Calibri" w:eastAsia="Calibri" w:hAnsi="Calibri" w:cs="Times New Roman"/>
          <w:sz w:val="20"/>
          <w:szCs w:val="20"/>
        </w:rPr>
        <w:t>/2022</w:t>
      </w:r>
    </w:p>
    <w:p w14:paraId="3C6D6488" w14:textId="77777777" w:rsidR="005B0141" w:rsidRPr="005B0141" w:rsidRDefault="005B0141" w:rsidP="005B0141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5B0141">
        <w:rPr>
          <w:rFonts w:ascii="Calibri" w:eastAsia="Calibri" w:hAnsi="Calibri" w:cs="Times New Roman"/>
          <w:sz w:val="20"/>
          <w:szCs w:val="20"/>
        </w:rPr>
        <w:tab/>
        <w:t xml:space="preserve">KM RPO WK-P na lata 2014-2020 </w:t>
      </w:r>
    </w:p>
    <w:p w14:paraId="4BB67FA9" w14:textId="77777777" w:rsidR="005B0141" w:rsidRPr="005B0141" w:rsidRDefault="005B0141" w:rsidP="005B0141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5B0141">
        <w:rPr>
          <w:rFonts w:ascii="Calibri" w:eastAsia="Calibri" w:hAnsi="Calibri" w:cs="Times New Roman"/>
          <w:sz w:val="20"/>
          <w:szCs w:val="20"/>
        </w:rPr>
        <w:tab/>
        <w:t xml:space="preserve">z dnia 3 lutego 2022 r. </w:t>
      </w:r>
    </w:p>
    <w:p w14:paraId="334C5076" w14:textId="77777777" w:rsidR="005B0141" w:rsidRPr="005B0141" w:rsidRDefault="005B0141" w:rsidP="005B0141">
      <w:pPr>
        <w:tabs>
          <w:tab w:val="left" w:pos="9923"/>
        </w:tabs>
        <w:spacing w:after="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Kryteria wyboru projektu</w:t>
      </w:r>
    </w:p>
    <w:p w14:paraId="11B77F15" w14:textId="77777777" w:rsidR="005B0141" w:rsidRPr="005B0141" w:rsidRDefault="005B0141" w:rsidP="005B014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Działanie: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13.2 Regionalny transport niskoemisyjny </w:t>
      </w:r>
    </w:p>
    <w:p w14:paraId="479315A8" w14:textId="77777777" w:rsidR="005B0141" w:rsidRPr="005B0141" w:rsidRDefault="005B0141" w:rsidP="005B014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Oś priorytetowa: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</w:t>
      </w:r>
      <w:r w:rsidRPr="005B0141">
        <w:rPr>
          <w:rFonts w:ascii="Calibri" w:eastAsia="Batang" w:hAnsi="Calibri" w:cs="Times New Roman"/>
          <w:sz w:val="24"/>
          <w:szCs w:val="24"/>
        </w:rPr>
        <w:t>13 Wspieranie kryzysowych działań naprawczych w kontekście pandemii COVID-19 i jej skutków społecznych oraz przygotowanie do ekologicznej i cyfrowej odbudowy gospodarki zwiększającej jej odporność</w:t>
      </w:r>
    </w:p>
    <w:p w14:paraId="70B29D61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Priorytet Inwestycyjny: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13i  Wspieranie kryzysowych działań naprawczych w kontekście pandemii COVID-19 i jej skutków społecznych oraz przygotowanie do ekologicznej i cyfrowej odbudowy gospodarki zwiększającej jej odporność</w:t>
      </w:r>
    </w:p>
    <w:p w14:paraId="0F4C79CB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Cel szczegółowy: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Przywrócenie znaczenia regionalnego transportu publicznego poprzez zwiększenie jego atrakcyjności</w:t>
      </w:r>
    </w:p>
    <w:p w14:paraId="03E9156D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Schemat</w:t>
      </w:r>
      <w:r w:rsidRPr="005B0141">
        <w:rPr>
          <w:rFonts w:ascii="Calibri" w:eastAsia="Calibri" w:hAnsi="Calibri" w:cs="Times New Roman"/>
          <w:sz w:val="24"/>
          <w:szCs w:val="24"/>
        </w:rPr>
        <w:t>: Zakup zeroemisyjnego taboru kolejowego (tryb pozakonkursowy)</w:t>
      </w:r>
    </w:p>
    <w:p w14:paraId="1FE79E50" w14:textId="77777777" w:rsidR="005B0141" w:rsidRPr="005B0141" w:rsidRDefault="005B0141" w:rsidP="005B014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89"/>
        <w:gridCol w:w="7115"/>
        <w:gridCol w:w="2970"/>
      </w:tblGrid>
      <w:tr w:rsidR="005B0141" w:rsidRPr="005B0141" w14:paraId="79777484" w14:textId="77777777" w:rsidTr="000F322F">
        <w:tc>
          <w:tcPr>
            <w:tcW w:w="4231" w:type="dxa"/>
            <w:gridSpan w:val="2"/>
            <w:shd w:val="clear" w:color="auto" w:fill="D9D9D9"/>
            <w:vAlign w:val="center"/>
          </w:tcPr>
          <w:p w14:paraId="13B120E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D472BF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E6E362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Kryterium</w:t>
            </w:r>
          </w:p>
          <w:p w14:paraId="651FB84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CED547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5" w:type="dxa"/>
            <w:shd w:val="clear" w:color="auto" w:fill="D9D9D9"/>
            <w:vAlign w:val="center"/>
          </w:tcPr>
          <w:p w14:paraId="07CCFB9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Definicja kryterium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5DDCC4D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Opis znaczenia Kryterium</w:t>
            </w:r>
          </w:p>
        </w:tc>
      </w:tr>
      <w:tr w:rsidR="005B0141" w:rsidRPr="005B0141" w14:paraId="6FAF058D" w14:textId="77777777" w:rsidTr="000F322F">
        <w:tc>
          <w:tcPr>
            <w:tcW w:w="14316" w:type="dxa"/>
            <w:gridSpan w:val="4"/>
            <w:shd w:val="clear" w:color="auto" w:fill="8DB3E2"/>
          </w:tcPr>
          <w:p w14:paraId="76BDF00C" w14:textId="77777777" w:rsidR="005B0141" w:rsidRPr="005B0141" w:rsidRDefault="005B0141" w:rsidP="005B0141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A. Kryteria Formalne</w:t>
            </w:r>
          </w:p>
        </w:tc>
      </w:tr>
      <w:tr w:rsidR="005B0141" w:rsidRPr="005B0141" w14:paraId="4EB92B4A" w14:textId="77777777" w:rsidTr="000F322F">
        <w:tc>
          <w:tcPr>
            <w:tcW w:w="1242" w:type="dxa"/>
            <w:vAlign w:val="center"/>
          </w:tcPr>
          <w:p w14:paraId="2874E28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A.1</w:t>
            </w:r>
          </w:p>
        </w:tc>
        <w:tc>
          <w:tcPr>
            <w:tcW w:w="2989" w:type="dxa"/>
            <w:vAlign w:val="center"/>
          </w:tcPr>
          <w:p w14:paraId="2723ACC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Niepodleganie wykluczeniu </w:t>
            </w:r>
          </w:p>
          <w:p w14:paraId="1CC61EA3" w14:textId="09AFD45D" w:rsidR="005B0141" w:rsidRPr="005B0141" w:rsidRDefault="005B0141" w:rsidP="00F3520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7115" w:type="dxa"/>
            <w:vAlign w:val="center"/>
          </w:tcPr>
          <w:p w14:paraId="77920AA9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  <w:u w:val="single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38AFDF1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4E0F6720" w14:textId="77777777" w:rsidR="005B0141" w:rsidRPr="005B0141" w:rsidRDefault="005B0141" w:rsidP="005B0141">
            <w:pPr>
              <w:numPr>
                <w:ilvl w:val="0"/>
                <w:numId w:val="3"/>
              </w:numPr>
              <w:spacing w:after="0" w:line="240" w:lineRule="auto"/>
              <w:ind w:left="279" w:hanging="284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wnioskodawca oraz partnerzy (jeśli dotyczy)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nie podlegają wykluczeniu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z możliwości ubiegania się o dofinansowanie oraz że nie są objęci zakazem dostępu do środków funduszy europejskich na podstawie:</w:t>
            </w:r>
          </w:p>
          <w:p w14:paraId="3FF41FAD" w14:textId="77777777" w:rsidR="005B0141" w:rsidRPr="005B0141" w:rsidRDefault="005B0141" w:rsidP="005B0141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art. 207 ust. 4 ustawy z dnia 27 sierpnia 2009 r. o finansach publicznych (Dz. U. z 2021 r. poz. 305),</w:t>
            </w:r>
          </w:p>
          <w:p w14:paraId="136FFCA7" w14:textId="77777777" w:rsidR="005B0141" w:rsidRPr="005B0141" w:rsidRDefault="005B0141" w:rsidP="005B0141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2021 r. poz. 1745),</w:t>
            </w:r>
          </w:p>
          <w:p w14:paraId="4A3C4D1D" w14:textId="77777777" w:rsidR="005B0141" w:rsidRPr="005B0141" w:rsidRDefault="005B0141" w:rsidP="005B0141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art. 9 ust. 1 pkt 2a ustawy z dnia 28 października 2002 r. o odpowiedzialności podmiotów zbiorowych za czyny zabronione pod groźbą kary (Dz. U. z 2020 r. poz. 358),</w:t>
            </w:r>
          </w:p>
          <w:p w14:paraId="06671F17" w14:textId="77777777" w:rsidR="005B0141" w:rsidRPr="005B0141" w:rsidRDefault="005B0141" w:rsidP="005B014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projekt nie został zakończony przed złożeniem wniosku o dofinansowanie projektu zgodnie z art. 65 ust. 6 rozporządzenia nr 1303/2013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2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, co oznacza że nie został on fizycznie ukończony lub w pełni wdrożony przed złożeniem wniosku o dofinansowanie projektu w ramach RPO WK-P 2014-2020, niezależnie od tego czy wszystkie powiązane z nim płatności zostały dokonane przez beneficjenta. </w:t>
            </w:r>
          </w:p>
          <w:p w14:paraId="3D2068C2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ind w:left="27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5FA52F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3350B33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0876C03A" w14:textId="48D40AD1" w:rsidR="005B0141" w:rsidRPr="005B0141" w:rsidRDefault="005B0141" w:rsidP="00F3520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60A5AA46" w14:textId="77777777" w:rsidTr="000F322F">
        <w:tc>
          <w:tcPr>
            <w:tcW w:w="1242" w:type="dxa"/>
            <w:vAlign w:val="center"/>
          </w:tcPr>
          <w:p w14:paraId="30BE94E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A.2</w:t>
            </w:r>
          </w:p>
        </w:tc>
        <w:tc>
          <w:tcPr>
            <w:tcW w:w="2989" w:type="dxa"/>
            <w:vAlign w:val="center"/>
          </w:tcPr>
          <w:p w14:paraId="1A62D4F5" w14:textId="77777777" w:rsidR="005B0141" w:rsidRPr="005B0141" w:rsidRDefault="005B0141" w:rsidP="005B0141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Miejsce realizacji  projektu</w:t>
            </w:r>
          </w:p>
        </w:tc>
        <w:tc>
          <w:tcPr>
            <w:tcW w:w="7115" w:type="dxa"/>
            <w:vAlign w:val="center"/>
          </w:tcPr>
          <w:p w14:paraId="5C908495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projekt realizowany jest/będzie na terytorium województwa kujawsko-pomorskiego w rozumieniu art. 70 rozporządzenia 1303/2013, tj. czy tabor będący przedmiotem projektu służyć będzie realizacji usług transportu publicznego na terytorium województwa kujawsko-pomorskiego. </w:t>
            </w:r>
          </w:p>
          <w:p w14:paraId="2F3B3035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B5203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1BA0E7D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06EA2BF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4B255F70" w14:textId="77777777" w:rsidTr="000F322F">
        <w:tc>
          <w:tcPr>
            <w:tcW w:w="1242" w:type="dxa"/>
            <w:vAlign w:val="center"/>
          </w:tcPr>
          <w:p w14:paraId="4E822FD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A.3</w:t>
            </w:r>
          </w:p>
        </w:tc>
        <w:tc>
          <w:tcPr>
            <w:tcW w:w="2989" w:type="dxa"/>
            <w:vAlign w:val="center"/>
          </w:tcPr>
          <w:p w14:paraId="737176CF" w14:textId="77777777" w:rsidR="005B0141" w:rsidRPr="005B0141" w:rsidRDefault="005B0141" w:rsidP="005B0141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Gotowość techniczna projektu do realizacji</w:t>
            </w:r>
          </w:p>
        </w:tc>
        <w:tc>
          <w:tcPr>
            <w:tcW w:w="7115" w:type="dxa"/>
            <w:vAlign w:val="center"/>
          </w:tcPr>
          <w:p w14:paraId="62E7D623" w14:textId="77777777" w:rsidR="005B0141" w:rsidRPr="005B0141" w:rsidRDefault="005B0141" w:rsidP="005B0141">
            <w:pPr>
              <w:spacing w:before="60" w:after="60" w:line="240" w:lineRule="auto"/>
              <w:ind w:left="2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Ocenie podlega, czy na moment zakończenia naboru wniosków o dofinansowanie projektu </w:t>
            </w:r>
          </w:p>
          <w:p w14:paraId="730EEF21" w14:textId="77777777" w:rsidR="005B0141" w:rsidRPr="005B0141" w:rsidRDefault="005B0141" w:rsidP="005B0141">
            <w:pPr>
              <w:numPr>
                <w:ilvl w:val="0"/>
                <w:numId w:val="2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ogłoszony został przetarg na wyłonienie wykonawcy zadania polegającego na zakupie taboru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  <w:vertAlign w:val="superscript"/>
              </w:rPr>
              <w:footnoteReference w:id="3"/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.</w:t>
            </w:r>
          </w:p>
          <w:p w14:paraId="1EF8ACD7" w14:textId="77777777" w:rsidR="005B0141" w:rsidRPr="005B0141" w:rsidRDefault="005B0141" w:rsidP="005B0141">
            <w:pPr>
              <w:spacing w:after="0" w:line="240" w:lineRule="auto"/>
              <w:ind w:left="44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0B84A7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65ECDE9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B0141" w:rsidRPr="005B0141" w14:paraId="56373D83" w14:textId="77777777" w:rsidTr="000F322F">
        <w:tc>
          <w:tcPr>
            <w:tcW w:w="14316" w:type="dxa"/>
            <w:gridSpan w:val="4"/>
            <w:shd w:val="clear" w:color="auto" w:fill="8DB3E2"/>
          </w:tcPr>
          <w:p w14:paraId="73CB382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B. Kryteria merytoryczne – ogólne</w:t>
            </w:r>
          </w:p>
        </w:tc>
      </w:tr>
      <w:tr w:rsidR="005B0141" w:rsidRPr="005B0141" w14:paraId="41C4C8C9" w14:textId="77777777" w:rsidTr="000F322F">
        <w:tc>
          <w:tcPr>
            <w:tcW w:w="1242" w:type="dxa"/>
            <w:vAlign w:val="center"/>
          </w:tcPr>
          <w:p w14:paraId="203FADB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</w:t>
            </w:r>
          </w:p>
        </w:tc>
        <w:tc>
          <w:tcPr>
            <w:tcW w:w="2989" w:type="dxa"/>
            <w:vAlign w:val="center"/>
          </w:tcPr>
          <w:p w14:paraId="45F8519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Trwałość operacji</w:t>
            </w:r>
          </w:p>
        </w:tc>
        <w:tc>
          <w:tcPr>
            <w:tcW w:w="7115" w:type="dxa"/>
            <w:vAlign w:val="center"/>
          </w:tcPr>
          <w:p w14:paraId="625F27A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wnioskodawca gwarantuje trwałość operacji zgodnie z art. 71 rozporządzenia nr 1303/2013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4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77823AE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1A204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7545F5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AD96A0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BA7CB6B" w14:textId="77777777" w:rsidTr="000F322F">
        <w:tc>
          <w:tcPr>
            <w:tcW w:w="1242" w:type="dxa"/>
            <w:vAlign w:val="center"/>
          </w:tcPr>
          <w:p w14:paraId="35579CB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B.2</w:t>
            </w:r>
          </w:p>
        </w:tc>
        <w:tc>
          <w:tcPr>
            <w:tcW w:w="2989" w:type="dxa"/>
            <w:vAlign w:val="center"/>
          </w:tcPr>
          <w:p w14:paraId="7D24D0B4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Kwalifikowalność wnioskodawcy/partnerów</w:t>
            </w:r>
          </w:p>
        </w:tc>
        <w:tc>
          <w:tcPr>
            <w:tcW w:w="7115" w:type="dxa"/>
            <w:vAlign w:val="center"/>
          </w:tcPr>
          <w:p w14:paraId="086785A0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wniosek został złożony przez uprawnionego wnioskodawcę, tj.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Samorząd Województwa Kujawsko-Pomorskiego.</w:t>
            </w:r>
          </w:p>
          <w:p w14:paraId="067E04E6" w14:textId="77777777" w:rsidR="005B0141" w:rsidRPr="005B0141" w:rsidRDefault="005B0141" w:rsidP="005B0141">
            <w:pPr>
              <w:spacing w:after="0" w:line="240" w:lineRule="auto"/>
              <w:ind w:left="30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8EA0C1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9B9E49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0B83D5A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6EF9C995" w14:textId="77777777" w:rsidTr="000F322F">
        <w:tc>
          <w:tcPr>
            <w:tcW w:w="1242" w:type="dxa"/>
            <w:vAlign w:val="center"/>
          </w:tcPr>
          <w:p w14:paraId="4F33B5B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B.3</w:t>
            </w:r>
          </w:p>
        </w:tc>
        <w:tc>
          <w:tcPr>
            <w:tcW w:w="2989" w:type="dxa"/>
            <w:vAlign w:val="center"/>
          </w:tcPr>
          <w:p w14:paraId="0DCF124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Prawidłowość wyboru partnerów uczestniczących/realizujących projekt</w:t>
            </w:r>
          </w:p>
        </w:tc>
        <w:tc>
          <w:tcPr>
            <w:tcW w:w="7115" w:type="dxa"/>
            <w:vAlign w:val="center"/>
          </w:tcPr>
          <w:p w14:paraId="5BFC539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wnioskodawca dokonał wyboru partnera/ów zgodnie z art. 33 ustawy z dnia 11 lipca 2014 r. o zasadach realizacji programów w zakresie polityki spójności finansowanych w perspektywie 2014-2020 (Dz. U. z 2021 r. poz. 1057) w tym m.in. czy wybór partnera został dokonany przed złożeniem wniosku o dofinansowanie projektu.</w:t>
            </w:r>
          </w:p>
          <w:p w14:paraId="7A1F3A4A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0C2DCF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D461AA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Tak/nie/nie dotyczy</w:t>
            </w:r>
          </w:p>
          <w:p w14:paraId="4579DC0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(niespełnienie kryterium oznacza odrzucenie wniosku) </w:t>
            </w:r>
          </w:p>
        </w:tc>
      </w:tr>
      <w:tr w:rsidR="005B0141" w:rsidRPr="005B0141" w14:paraId="754CF551" w14:textId="77777777" w:rsidTr="000F322F">
        <w:tc>
          <w:tcPr>
            <w:tcW w:w="1242" w:type="dxa"/>
            <w:vAlign w:val="center"/>
          </w:tcPr>
          <w:p w14:paraId="7FB7544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B.4</w:t>
            </w:r>
          </w:p>
        </w:tc>
        <w:tc>
          <w:tcPr>
            <w:tcW w:w="2989" w:type="dxa"/>
            <w:vAlign w:val="center"/>
          </w:tcPr>
          <w:p w14:paraId="372A4C3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Projekt jest zgodny z typami projektów przewidzianymi </w:t>
            </w:r>
          </w:p>
          <w:p w14:paraId="6CBABB0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do wsparcia w ramach działania/poddziałania</w:t>
            </w:r>
            <w:r w:rsidRPr="005B0141" w:rsidDel="003B10D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15" w:type="dxa"/>
            <w:vAlign w:val="center"/>
          </w:tcPr>
          <w:p w14:paraId="52A5448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projekt polega na zakupie zeroemisyjnego taboru kolejowego służącego przewozom regionalnym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5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9437C69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08A1E9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F383258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59F05DD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6329AC06" w14:textId="77777777" w:rsidTr="000F322F">
        <w:tc>
          <w:tcPr>
            <w:tcW w:w="1242" w:type="dxa"/>
            <w:vAlign w:val="center"/>
          </w:tcPr>
          <w:p w14:paraId="246C1A1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B.5</w:t>
            </w:r>
          </w:p>
        </w:tc>
        <w:tc>
          <w:tcPr>
            <w:tcW w:w="2989" w:type="dxa"/>
            <w:vAlign w:val="center"/>
          </w:tcPr>
          <w:p w14:paraId="6230B88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Zgodność z prawem pomocy publicznej</w:t>
            </w:r>
          </w:p>
        </w:tc>
        <w:tc>
          <w:tcPr>
            <w:tcW w:w="7115" w:type="dxa"/>
            <w:vAlign w:val="center"/>
          </w:tcPr>
          <w:p w14:paraId="02249972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Ocena będzie polegać na sprawdzeniu, czy w projekcie występuje pomocą publiczna.</w:t>
            </w:r>
          </w:p>
          <w:p w14:paraId="511F61EF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przypadku występowania pomocy publicznej:</w:t>
            </w:r>
          </w:p>
          <w:p w14:paraId="3BFCFE85" w14:textId="77777777" w:rsidR="005B0141" w:rsidRPr="005B0141" w:rsidRDefault="005B0141" w:rsidP="005B014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66" w:hanging="142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sz w:val="18"/>
                <w:szCs w:val="18"/>
              </w:rPr>
              <w:t xml:space="preserve">pomoc jest udzielana zgodnie z zasadami określonymi w </w:t>
            </w:r>
            <w:r w:rsidRPr="005B0141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Wytycznych Ministra Infrastruktury i Rozwoju z dnia 19 października 2015 r. w zakresie zasad dofinansowania z programów operacyjnych podmiotów realizujących obowiązek świadczenia usług publicznych </w:t>
            </w:r>
            <w:r w:rsidRPr="005B0141">
              <w:rPr>
                <w:rFonts w:ascii="Calibri" w:eastAsia="Calibri" w:hAnsi="Calibri" w:cs="Calibri"/>
                <w:i/>
                <w:sz w:val="18"/>
                <w:szCs w:val="18"/>
              </w:rPr>
              <w:br/>
              <w:t>w transporcie zbiorowym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 xml:space="preserve"> (Nr MIR/H/2014-2020/30(1)/10/2014) (wsparcie </w:t>
            </w:r>
            <w:r w:rsidRPr="005B0141">
              <w:rPr>
                <w:rFonts w:ascii="Calibri" w:eastAsia="Calibri" w:hAnsi="Calibri" w:cs="Calibri,Bold"/>
                <w:b/>
                <w:bCs/>
                <w:sz w:val="18"/>
                <w:szCs w:val="18"/>
              </w:rPr>
              <w:t xml:space="preserve">stanowi rekompensatę 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>z tytułu realizacji zadań publicznych).</w:t>
            </w:r>
          </w:p>
          <w:p w14:paraId="73BD05FC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przypadku, gdy pomoc publiczna nie występuje, ocenie podlega, czy wnioskodawca załączył do wniosku o dofinansowanie projektu opis mechanizmu zapewniającego niewystąpienie pomocy publicznej na jego poziomie.</w:t>
            </w:r>
          </w:p>
          <w:p w14:paraId="359B944D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951C46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eastAsia="pl-PL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F6A7C2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B0141" w:rsidRPr="005B0141" w14:paraId="3967E586" w14:textId="77777777" w:rsidTr="000F322F">
        <w:tc>
          <w:tcPr>
            <w:tcW w:w="1242" w:type="dxa"/>
            <w:vAlign w:val="center"/>
          </w:tcPr>
          <w:p w14:paraId="50B9438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B.6</w:t>
            </w:r>
          </w:p>
        </w:tc>
        <w:tc>
          <w:tcPr>
            <w:tcW w:w="2989" w:type="dxa"/>
            <w:vAlign w:val="center"/>
          </w:tcPr>
          <w:p w14:paraId="6E5FD08E" w14:textId="39729E7F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Zgodność projektu z zasadą zrównoważonego rozwoju </w:t>
            </w:r>
            <w:r w:rsidR="00F35205">
              <w:rPr>
                <w:rFonts w:ascii="Calibri" w:eastAsia="Calibri" w:hAnsi="Calibri" w:cs="Times New Roman"/>
                <w:sz w:val="18"/>
                <w:szCs w:val="18"/>
              </w:rPr>
              <w:br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i wymaganiami prawa ochrony środowiska</w:t>
            </w:r>
          </w:p>
        </w:tc>
        <w:tc>
          <w:tcPr>
            <w:tcW w:w="7115" w:type="dxa"/>
            <w:vAlign w:val="center"/>
          </w:tcPr>
          <w:p w14:paraId="6CD0BADD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Weryfikowany będzie pozytywny lub neutralny wpływ projektu na zasadę horyzontalną UE dotyczącą zrównoważonego rozwoju (w szczególności minimalizowanie 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negatywnego wpływu  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>działalności człowieka na środowisko, w tym nakierowanych na spełnienie acquis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vertAlign w:val="superscript"/>
                <w:lang w:val="x-none"/>
              </w:rPr>
              <w:footnoteReference w:id="6"/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 w obszarze środowiska) oraz czy projekt został przygotowany zgodnie z prawem dotyczącym ochrony środowiska, w tym: </w:t>
            </w:r>
          </w:p>
          <w:p w14:paraId="1E9DA40D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3 października 2008 r. o udostępnianiu informacji o środowisku i jego ochronie, udziale społeczeństwa w ochronie środowiska oraz ocenach oddziaływania na środowisko (tj. 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>Dz. U. z 2021 r. poz. 2389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), </w:t>
            </w:r>
          </w:p>
          <w:p w14:paraId="20AB52A1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27 kwietnia 2001 r. Prawo ochrony środowiska (Dz. U. z 2021 r. poz. 802 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z późn. zm.), </w:t>
            </w:r>
          </w:p>
          <w:p w14:paraId="678D9E09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16 kwietnia 2004 r. o ochronie przyrody (Dz. U. z 2021 r. poz. 1098.), </w:t>
            </w:r>
          </w:p>
          <w:p w14:paraId="3EF4BE46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ustawą z dnia 20 lipca 2017 r. Prawo wodne (</w:t>
            </w:r>
            <w:r w:rsidRPr="005B0141">
              <w:rPr>
                <w:rFonts w:ascii="Calibri" w:eastAsia="Calibri" w:hAnsi="Calibri" w:cs="Calibri"/>
                <w:sz w:val="18"/>
                <w:szCs w:val="18"/>
                <w:lang w:val="x-none"/>
              </w:rPr>
              <w:t>Dz. U. z 20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>21</w:t>
            </w:r>
            <w:r w:rsidRPr="005B0141">
              <w:rPr>
                <w:rFonts w:ascii="Calibri" w:eastAsia="Calibri" w:hAnsi="Calibri" w:cs="Calibri"/>
                <w:sz w:val="18"/>
                <w:szCs w:val="18"/>
                <w:lang w:val="x-none"/>
              </w:rPr>
              <w:t xml:space="preserve"> r. poz. 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>624 z późn. zm.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).</w:t>
            </w:r>
          </w:p>
          <w:p w14:paraId="4E3458B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93B99A0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E817DB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Tak/nie/nie dotyczy </w:t>
            </w:r>
          </w:p>
          <w:p w14:paraId="18C0D99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7B31F336" w14:textId="77777777" w:rsidTr="000F322F">
        <w:trPr>
          <w:trHeight w:val="425"/>
        </w:trPr>
        <w:tc>
          <w:tcPr>
            <w:tcW w:w="1242" w:type="dxa"/>
            <w:vAlign w:val="center"/>
          </w:tcPr>
          <w:p w14:paraId="61DD089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B.7</w:t>
            </w:r>
          </w:p>
        </w:tc>
        <w:tc>
          <w:tcPr>
            <w:tcW w:w="2989" w:type="dxa"/>
            <w:vAlign w:val="center"/>
          </w:tcPr>
          <w:p w14:paraId="779F6A8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Cele projektu wspierają realizację celów określonych w działaniu </w:t>
            </w:r>
          </w:p>
        </w:tc>
        <w:tc>
          <w:tcPr>
            <w:tcW w:w="7115" w:type="dxa"/>
            <w:vAlign w:val="center"/>
          </w:tcPr>
          <w:p w14:paraId="39C7EAC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cel projektu umożliwi zrealizowanie celu działania, tj. przywrócenie znaczenia regionalnego transportu publicznego poprzez zwiększenie jego atrakcyjności.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W tym kontekście należy zbadać czy zaplanowane zadania służą realizacji celów projektu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i w konsekwencji prowadzą do osiągnięcia celów działania. </w:t>
            </w:r>
          </w:p>
          <w:p w14:paraId="4585E33A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6AFE3D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FA83FA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249ECD2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3CDFC6DE" w14:textId="77777777" w:rsidTr="000F322F">
        <w:trPr>
          <w:trHeight w:val="416"/>
        </w:trPr>
        <w:tc>
          <w:tcPr>
            <w:tcW w:w="1242" w:type="dxa"/>
            <w:vAlign w:val="center"/>
          </w:tcPr>
          <w:p w14:paraId="464C63D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B.8</w:t>
            </w:r>
          </w:p>
        </w:tc>
        <w:tc>
          <w:tcPr>
            <w:tcW w:w="2989" w:type="dxa"/>
            <w:vAlign w:val="center"/>
          </w:tcPr>
          <w:p w14:paraId="7B9F077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Wskaźniki realizacji celów projektu</w:t>
            </w:r>
          </w:p>
        </w:tc>
        <w:tc>
          <w:tcPr>
            <w:tcW w:w="7115" w:type="dxa"/>
            <w:vAlign w:val="center"/>
          </w:tcPr>
          <w:p w14:paraId="1EED802D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185AF739" w14:textId="77777777" w:rsidR="005B0141" w:rsidRPr="005B0141" w:rsidRDefault="005B0141" w:rsidP="005B0141">
            <w:pPr>
              <w:numPr>
                <w:ilvl w:val="0"/>
                <w:numId w:val="6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wskaźniki realizacji celów projektu (produktu, rezultatu) zostały wyrażone liczbowo oraz podano czas ich osiągnięcia,</w:t>
            </w:r>
          </w:p>
          <w:p w14:paraId="74CAF403" w14:textId="77777777" w:rsidR="005B0141" w:rsidRPr="005B0141" w:rsidRDefault="005B0141" w:rsidP="005B0141">
            <w:pPr>
              <w:numPr>
                <w:ilvl w:val="0"/>
                <w:numId w:val="6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wskaźniki zostały właściwie oszacowane w odniesieniu do zakresu projektu,</w:t>
            </w:r>
          </w:p>
          <w:p w14:paraId="28FFFAAC" w14:textId="77777777" w:rsidR="005B0141" w:rsidRPr="005B0141" w:rsidRDefault="005B0141" w:rsidP="005B0141">
            <w:pPr>
              <w:numPr>
                <w:ilvl w:val="0"/>
                <w:numId w:val="6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wybrano wszystkie wskaźniki związane z realizacją projektu.</w:t>
            </w:r>
          </w:p>
          <w:p w14:paraId="7F405B64" w14:textId="77777777" w:rsidR="005B0141" w:rsidRPr="005B0141" w:rsidRDefault="005B0141" w:rsidP="005B0141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18"/>
              </w:rPr>
            </w:pPr>
          </w:p>
          <w:p w14:paraId="62FF1365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</w:rPr>
            </w:pPr>
            <w:r w:rsidRPr="005B0141">
              <w:rPr>
                <w:rFonts w:ascii="Calibri" w:eastAsia="Calibri" w:hAnsi="Calibri" w:cs="Times New Roman"/>
                <w:sz w:val="18"/>
              </w:rPr>
              <w:t>Lista wskaźników obowiązujących w konkursie stanowi załącznik do Kryteriów wyboru projektów.</w:t>
            </w:r>
          </w:p>
          <w:p w14:paraId="6E98047F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</w:rPr>
            </w:pPr>
          </w:p>
          <w:p w14:paraId="58F1712C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18F9AB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3D2E863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46BD2D5B" w14:textId="77777777" w:rsidTr="000F322F">
        <w:trPr>
          <w:trHeight w:val="699"/>
        </w:trPr>
        <w:tc>
          <w:tcPr>
            <w:tcW w:w="1242" w:type="dxa"/>
            <w:vAlign w:val="center"/>
          </w:tcPr>
          <w:p w14:paraId="6FDD192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B.9</w:t>
            </w:r>
          </w:p>
        </w:tc>
        <w:tc>
          <w:tcPr>
            <w:tcW w:w="2989" w:type="dxa"/>
            <w:vAlign w:val="center"/>
          </w:tcPr>
          <w:p w14:paraId="101AB33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15" w:type="dxa"/>
            <w:vAlign w:val="center"/>
          </w:tcPr>
          <w:p w14:paraId="6B5A8B9D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0BAAF42F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8666326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wnioskodawca gwarantuje techniczną wykonalność projektu,</w:t>
            </w:r>
          </w:p>
          <w:p w14:paraId="4AF68BDC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zakres rzeczowy projektu jest technologicznie wykonalny,</w:t>
            </w:r>
          </w:p>
          <w:p w14:paraId="6F6055B4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wnioskodawca posiada potencjał do prawidłowej obsługi projektu.</w:t>
            </w:r>
          </w:p>
          <w:p w14:paraId="5DC4D1FA" w14:textId="77777777" w:rsidR="005B0141" w:rsidRPr="005B0141" w:rsidRDefault="005B0141" w:rsidP="005B0141">
            <w:pPr>
              <w:spacing w:after="0" w:line="240" w:lineRule="auto"/>
              <w:ind w:left="30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B839C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08CD4CA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45CC394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08469220" w14:textId="77777777" w:rsidTr="000F322F">
        <w:trPr>
          <w:trHeight w:val="70"/>
        </w:trPr>
        <w:tc>
          <w:tcPr>
            <w:tcW w:w="1242" w:type="dxa"/>
            <w:vAlign w:val="center"/>
          </w:tcPr>
          <w:p w14:paraId="6281E57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B.10</w:t>
            </w:r>
          </w:p>
        </w:tc>
        <w:tc>
          <w:tcPr>
            <w:tcW w:w="2989" w:type="dxa"/>
            <w:vAlign w:val="center"/>
          </w:tcPr>
          <w:p w14:paraId="2C4D8F54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Kwalifikowalność wydatków</w:t>
            </w:r>
          </w:p>
        </w:tc>
        <w:tc>
          <w:tcPr>
            <w:tcW w:w="7115" w:type="dxa"/>
            <w:vAlign w:val="center"/>
          </w:tcPr>
          <w:p w14:paraId="368055B8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wydatki wskazane w projekcie spełniają warunki kwalifikowalności,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tj.:</w:t>
            </w:r>
          </w:p>
          <w:p w14:paraId="74654344" w14:textId="77777777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zostały/ną poniesione w okresie kwalifikowalności wydatków określonym w Regulaminie konkursu obowiązującym dla danego naboru. Przy czym okres kwalifikowalności powinien mieścić się w ramach czasowych określonych w wytycznych ministra właściwego ds. rozwoju regionalnego w zakresie kwalifikowalności wydatków w ramach Europejskiego Funduszu Rozwoju Regionalnego, Europejskiego Funduszu Społecznego oraz Funduszu Spójności na lata 2014-2020,</w:t>
            </w:r>
          </w:p>
          <w:p w14:paraId="6BD27638" w14:textId="4EFB9838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są zgodne z zasadami określonymi w ww. wytycznych w zakresie kwalifikowalności wydatków oraz zapisami dotyczącymi kwalifikowalności wydatków określonymi w Regulaminie konkursu,</w:t>
            </w:r>
          </w:p>
          <w:p w14:paraId="040E3F8E" w14:textId="77777777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zostały uwzględnione w budżecie projektu, </w:t>
            </w:r>
          </w:p>
          <w:p w14:paraId="31A8CBC8" w14:textId="250B6E18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są niezbędne do realizacji celów projektu i zostaną poniesione w związku z realizacją projektu,</w:t>
            </w:r>
          </w:p>
          <w:p w14:paraId="339E7D0A" w14:textId="77777777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zostaną dokonane w sposób racjonalny i efektywny z zachowaniem zasad uzyskiwania najlepszych efektów z danych nakładów.</w:t>
            </w:r>
          </w:p>
          <w:p w14:paraId="622FCA1D" w14:textId="77777777" w:rsidR="005B0141" w:rsidRPr="005B0141" w:rsidRDefault="005B0141" w:rsidP="005B0141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69A070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53CC3BA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572D84A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434B51E6" w14:textId="77777777" w:rsidTr="000F322F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837C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B.11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E5D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Zgodność z zasadą równości mężczyzn i kobiet oraz niedyskryminacji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5E7D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 zgodność projektu z politykami horyzontalnymi UE, w tym z:</w:t>
            </w:r>
          </w:p>
          <w:p w14:paraId="723EB9E6" w14:textId="77777777" w:rsidR="005B0141" w:rsidRPr="005B0141" w:rsidRDefault="005B0141" w:rsidP="005B0141">
            <w:pPr>
              <w:numPr>
                <w:ilvl w:val="0"/>
                <w:numId w:val="7"/>
              </w:numPr>
              <w:spacing w:after="0" w:line="240" w:lineRule="auto"/>
              <w:ind w:left="312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Zasadą równości szans kobiet i mężczyzn.</w:t>
            </w:r>
          </w:p>
          <w:p w14:paraId="6B6E9A3F" w14:textId="77777777" w:rsidR="005B0141" w:rsidRPr="005B0141" w:rsidRDefault="005B0141" w:rsidP="005B0141">
            <w:pPr>
              <w:numPr>
                <w:ilvl w:val="0"/>
                <w:numId w:val="7"/>
              </w:numPr>
              <w:spacing w:after="60" w:line="240" w:lineRule="auto"/>
              <w:ind w:left="312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Zasadą równości szans i niedyskryminacji, w tym dostępności dla osób z niepełnosprawnościami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7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poprzez weryfikację czy wszystkie nowe produkty projektów (zasoby cyfrowe, środki transportu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0D206018" w14:textId="77777777" w:rsidR="005B0141" w:rsidRPr="005B0141" w:rsidRDefault="005B0141" w:rsidP="005B0141">
            <w:pPr>
              <w:spacing w:after="60" w:line="240" w:lineRule="auto"/>
              <w:ind w:left="2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przypadku obiektów i zasobów modernizowanych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8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(przebudowa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9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, rozbudowa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10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2E134047" w14:textId="77777777" w:rsidR="005B0141" w:rsidRPr="005B0141" w:rsidRDefault="005B0141" w:rsidP="005B0141">
            <w:pPr>
              <w:spacing w:after="60" w:line="240" w:lineRule="auto"/>
              <w:ind w:left="2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3395A92D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Każda z powyższych zasad podlega oddzielnej ocenie. W przypadku </w:t>
            </w:r>
            <w:r w:rsidRPr="005B0141">
              <w:rPr>
                <w:rFonts w:ascii="Calibri" w:eastAsia="Calibri" w:hAnsi="Calibri" w:cs="Times New Roman"/>
                <w:bCs/>
                <w:sz w:val="18"/>
                <w:szCs w:val="18"/>
              </w:rPr>
              <w:t>zasady równości szans kobiet i mężczyzn,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0F8804D5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702E1EEA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3464F869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Ostateczna decyzja </w:t>
            </w:r>
            <w:r w:rsidRPr="005B0141">
              <w:rPr>
                <w:rFonts w:ascii="Calibri" w:eastAsia="Calibri" w:hAnsi="Calibri" w:cs="Times New Roman"/>
                <w:bCs/>
                <w:sz w:val="18"/>
                <w:szCs w:val="18"/>
              </w:rPr>
              <w:t>o neutralności danego produktu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209AA24C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Ocenie podlegać będzie zgodność z art. 7 rozporządzenia 1303/2013 oraz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 xml:space="preserve">Wytycznymi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, w tym z załącznikiem nr 2 do niniejszych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Wytycznych: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Standardy dostępności dla polityki spójności 2014-2020.</w:t>
            </w:r>
          </w:p>
          <w:p w14:paraId="6751026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D5ACC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A1E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Tak/nie</w:t>
            </w:r>
          </w:p>
          <w:p w14:paraId="4E197FDE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0C4519B6" w14:textId="77777777" w:rsidTr="000F322F">
        <w:trPr>
          <w:trHeight w:val="708"/>
        </w:trPr>
        <w:tc>
          <w:tcPr>
            <w:tcW w:w="1242" w:type="dxa"/>
            <w:vAlign w:val="center"/>
          </w:tcPr>
          <w:p w14:paraId="3B91ADC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B.12</w:t>
            </w:r>
          </w:p>
        </w:tc>
        <w:tc>
          <w:tcPr>
            <w:tcW w:w="2989" w:type="dxa"/>
            <w:vAlign w:val="center"/>
          </w:tcPr>
          <w:p w14:paraId="1A1EC773" w14:textId="5B236DFA" w:rsidR="005B0141" w:rsidRPr="005B0141" w:rsidRDefault="005B0141" w:rsidP="006F72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Wykonalność finansowa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115" w:type="dxa"/>
            <w:vAlign w:val="center"/>
          </w:tcPr>
          <w:p w14:paraId="29D64E8F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projekt wykazuje pozytywne efekty ekonomiczne oraz czy analiza finansowa i ekonomiczna przedsięwzięcia została przeprowadzona poprawnie,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w szczególności czy:</w:t>
            </w:r>
          </w:p>
          <w:p w14:paraId="1D909E3E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poziom dofinansowania został ustalony poprawnie i z uwzględnieniem przepisów dotyczących pomocy publicznej  i projektów generujących dochód (jeśli dotyczy), </w:t>
            </w:r>
          </w:p>
          <w:p w14:paraId="50135F47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wskazano źródła finansowania wkładu własnego oraz wydatków niekwalifikowalnych,</w:t>
            </w:r>
          </w:p>
          <w:p w14:paraId="123B0DD3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przyjęte założenia analiz finansowych są spójne i uzasadnione w kontekście specyfiki projektu i sektora,</w:t>
            </w:r>
          </w:p>
          <w:p w14:paraId="7E8E01C2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analizie finansowej  nie ma istotnych błędów rachunkowych,</w:t>
            </w:r>
          </w:p>
          <w:p w14:paraId="28E672D4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analiza finansowa i ekonomiczna została przeprowadzona zgodnie z zasadami sporządzania takich analiz,</w:t>
            </w:r>
          </w:p>
          <w:p w14:paraId="2BCFF287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zapewniona została trwałość finansowa projektu.</w:t>
            </w:r>
          </w:p>
          <w:p w14:paraId="6397F1C5" w14:textId="77777777" w:rsidR="005B0141" w:rsidRPr="005B0141" w:rsidRDefault="005B0141" w:rsidP="005B0141">
            <w:pPr>
              <w:spacing w:after="0" w:line="240" w:lineRule="auto"/>
              <w:ind w:left="44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22EC68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71D4237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7260F28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EA0E09A" w14:textId="77777777" w:rsidTr="000F322F">
        <w:trPr>
          <w:trHeight w:val="1087"/>
        </w:trPr>
        <w:tc>
          <w:tcPr>
            <w:tcW w:w="1242" w:type="dxa"/>
            <w:vAlign w:val="center"/>
          </w:tcPr>
          <w:p w14:paraId="51F8078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B.13</w:t>
            </w:r>
          </w:p>
        </w:tc>
        <w:tc>
          <w:tcPr>
            <w:tcW w:w="2989" w:type="dxa"/>
            <w:vAlign w:val="center"/>
          </w:tcPr>
          <w:p w14:paraId="31EB587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Zgodność dokumentacji projektowej z SZOOP oraz Regulaminem konkursu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7115" w:type="dxa"/>
            <w:vAlign w:val="center"/>
          </w:tcPr>
          <w:p w14:paraId="2CAED18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wnioskodawca przygotował wniosek o dofinansowanie projektu zgodnie z SZOOP obowiązującym na dzień przyjęcia kryterium (chyba, że kryteria zawężają postanowienia SZOOP w zakresie danego działania) oraz Regulaminem konkursu,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w szczególności zgodnie z Instrukcją wypełniania wniosku o dofinansowanie projektu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w ramach RPO WK-P na lata 2014-2020. Weryfikacji podlega m.in. maksymalna/minimalna wartość projektu oraz maksymalna/minimalna wartość wydatków kwalifikowanych projektu (jeśli dotyczy), maksymalny % poziom dofinansowania UE oraz minimalny wkład własny beneficjenta jako % wydatków kwalifikowanych (jeśli dotyczy).</w:t>
            </w:r>
          </w:p>
          <w:p w14:paraId="49A84C1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 </w:t>
            </w:r>
          </w:p>
          <w:p w14:paraId="587C868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IZ RPO ma możliwość doprecyzowania maksymalnej/minimalnej wartość projektu oraz maksymalnej/ minimalnej wartość wydatków kwalifikowanych projektu (jeśli dotyczy), maksymalnego % poziomu dofinansowania UE oraz minimalnego wkładu własnego beneficjenta jako % wydatków kwalifikowanych (jeśli dotyczy) w Regulaminie konkursu.</w:t>
            </w:r>
          </w:p>
          <w:p w14:paraId="3C41669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08C91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017D10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CBAA03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5A7E42B" w14:textId="77777777" w:rsidTr="000F322F">
        <w:trPr>
          <w:trHeight w:val="1087"/>
        </w:trPr>
        <w:tc>
          <w:tcPr>
            <w:tcW w:w="1242" w:type="dxa"/>
            <w:vAlign w:val="center"/>
          </w:tcPr>
          <w:p w14:paraId="5CD55B7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lastRenderedPageBreak/>
              <w:t>B.14</w:t>
            </w:r>
          </w:p>
        </w:tc>
        <w:tc>
          <w:tcPr>
            <w:tcW w:w="2989" w:type="dxa"/>
            <w:vAlign w:val="center"/>
          </w:tcPr>
          <w:p w14:paraId="0023F20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Zgodność projektu z załącznikiem 5 do SZOOP</w:t>
            </w:r>
          </w:p>
        </w:tc>
        <w:tc>
          <w:tcPr>
            <w:tcW w:w="7115" w:type="dxa"/>
            <w:vAlign w:val="center"/>
          </w:tcPr>
          <w:p w14:paraId="7E08B6AE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Ocenie podlega, czy na moment ogłoszenia naboru, projekt został zidentyfikowany 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br/>
              <w:t xml:space="preserve">w załączniku 5 do Szczegółowego Opisu Osi Priorytetowych </w:t>
            </w:r>
            <w:r w:rsidRPr="005B0141">
              <w:rPr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t xml:space="preserve">Wykaz projektów zidentyfikowanych przez właściwą instytucję w ramach trybu pozakonkursowego wraz </w:t>
            </w:r>
            <w:r w:rsidRPr="005B0141">
              <w:rPr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br/>
              <w:t>z informacją o projekcie i podmiocie, który będzie wnioskodawcą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 oraz czy:</w:t>
            </w:r>
          </w:p>
          <w:p w14:paraId="2F551DA3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before="60"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wniosek został złożony przez uprawnionego wnioskodawcę, wskazanego w załączniku,</w:t>
            </w:r>
          </w:p>
          <w:p w14:paraId="6F5EB1C8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wskaźniki realizowane w projekcie są zgodne ze wskaźnikami wynikającymi z załącznika,</w:t>
            </w:r>
          </w:p>
          <w:p w14:paraId="1ED72F02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kwota dofinansowania nie przekracza wkładu UE wynikającego z załącznika.</w:t>
            </w:r>
          </w:p>
          <w:p w14:paraId="40332230" w14:textId="77777777" w:rsidR="005B0141" w:rsidRPr="005B0141" w:rsidRDefault="005B0141" w:rsidP="005B0141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  <w:p w14:paraId="04B369B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71EABED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Tak/nie 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B0141" w:rsidRPr="005B0141" w14:paraId="1FFB3170" w14:textId="77777777" w:rsidTr="000F322F">
        <w:tc>
          <w:tcPr>
            <w:tcW w:w="14316" w:type="dxa"/>
            <w:gridSpan w:val="4"/>
            <w:shd w:val="clear" w:color="auto" w:fill="8DB3E2"/>
          </w:tcPr>
          <w:p w14:paraId="24E929F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5B0141" w:rsidRPr="005B0141" w14:paraId="62FD804B" w14:textId="77777777" w:rsidTr="000F322F">
        <w:tc>
          <w:tcPr>
            <w:tcW w:w="1242" w:type="dxa"/>
            <w:vAlign w:val="center"/>
          </w:tcPr>
          <w:p w14:paraId="02A44738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C.1.1</w:t>
            </w:r>
          </w:p>
        </w:tc>
        <w:tc>
          <w:tcPr>
            <w:tcW w:w="2989" w:type="dxa"/>
            <w:vAlign w:val="center"/>
          </w:tcPr>
          <w:p w14:paraId="734CE54A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eastAsia="pl-PL"/>
              </w:rPr>
              <w:t>Zmiany klimatu</w:t>
            </w:r>
          </w:p>
        </w:tc>
        <w:tc>
          <w:tcPr>
            <w:tcW w:w="7115" w:type="dxa"/>
            <w:vAlign w:val="center"/>
          </w:tcPr>
          <w:p w14:paraId="68053FB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w ramach kryterium podlegać będzie czy przyjęte rozwiązania techniczne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i technologiczne:</w:t>
            </w:r>
          </w:p>
          <w:p w14:paraId="2C696B27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4088B0" w14:textId="77777777" w:rsidR="005B0141" w:rsidRPr="005B0141" w:rsidRDefault="005B0141" w:rsidP="005B0141">
            <w:pPr>
              <w:numPr>
                <w:ilvl w:val="0"/>
                <w:numId w:val="18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minimalizują wpływ inwestycji na klimat,</w:t>
            </w:r>
          </w:p>
          <w:p w14:paraId="3DC8B9C1" w14:textId="77777777" w:rsidR="005B0141" w:rsidRPr="005B0141" w:rsidRDefault="005B0141" w:rsidP="005B0141">
            <w:pPr>
              <w:numPr>
                <w:ilvl w:val="0"/>
                <w:numId w:val="18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uwzględniają potrzeby zapewnienia trwałości – odporności – na skutki zmiany klimatu (np. ekstremalne temperatury, burze itp.).</w:t>
            </w:r>
          </w:p>
          <w:p w14:paraId="588AF79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48DA21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3E51D6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57A4A93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2157E799" w14:textId="77777777" w:rsidTr="000F322F">
        <w:tc>
          <w:tcPr>
            <w:tcW w:w="1242" w:type="dxa"/>
            <w:vAlign w:val="center"/>
          </w:tcPr>
          <w:p w14:paraId="322FB61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C.1.2</w:t>
            </w:r>
          </w:p>
        </w:tc>
        <w:tc>
          <w:tcPr>
            <w:tcW w:w="2989" w:type="dxa"/>
            <w:vAlign w:val="center"/>
          </w:tcPr>
          <w:p w14:paraId="6B6A031F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sz w:val="18"/>
                <w:szCs w:val="18"/>
              </w:rPr>
              <w:t>Zgodność z TSI (Techniczne Specyfikacje Interoperacyjności)</w:t>
            </w:r>
          </w:p>
        </w:tc>
        <w:tc>
          <w:tcPr>
            <w:tcW w:w="7115" w:type="dxa"/>
            <w:vAlign w:val="center"/>
          </w:tcPr>
          <w:p w14:paraId="5D06A9E1" w14:textId="77777777" w:rsidR="005B0141" w:rsidRPr="005B0141" w:rsidRDefault="005B0141" w:rsidP="005B0141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Projektowane rozwiązania będą realizowane zgodnie z wymaganiami TSI, w tym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z Rozporządzeniem Komisji (UE) nr 1300/2014 z dnia 18 listopada 2014 r. w sprawie technicznych specyfikacji interoperacyjności odnoszących się do dostępności systemu kolei dla osób niepełnosprawnych i osób o ograniczonej możliwości poruszania się.</w:t>
            </w:r>
          </w:p>
          <w:p w14:paraId="63B0130C" w14:textId="77777777" w:rsidR="005B0141" w:rsidRPr="005B0141" w:rsidRDefault="005B0141" w:rsidP="005B0141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Techniczne Specyfikacje Interoperacyjności - specyfikacje obejmujące podsystemy lub ich części w celu spełnienia zasadniczych wymagań dotyczących interoperacyjności systemu kolei, ogłaszane przez Komisję Europejską w Dzienniku Urzędowym Unii Europejskiej.</w:t>
            </w:r>
          </w:p>
          <w:p w14:paraId="74D7AC4A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Kryterium nie dotyczy projektów polegających wyłącznie na przygotowaniu dokumentacji przedprojektowej.</w:t>
            </w:r>
          </w:p>
          <w:p w14:paraId="10F99988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83B99E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274B99E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Tak/nie/nie dotyczy</w:t>
            </w:r>
          </w:p>
          <w:p w14:paraId="7301A65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4CAFF61" w14:textId="77777777" w:rsidTr="000F322F">
        <w:tc>
          <w:tcPr>
            <w:tcW w:w="1242" w:type="dxa"/>
            <w:vAlign w:val="center"/>
          </w:tcPr>
          <w:p w14:paraId="445C99D8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C.1.3</w:t>
            </w:r>
          </w:p>
        </w:tc>
        <w:tc>
          <w:tcPr>
            <w:tcW w:w="2989" w:type="dxa"/>
            <w:vAlign w:val="center"/>
          </w:tcPr>
          <w:p w14:paraId="2F86D554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Zwiększenie komfortu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podróży</w:t>
            </w:r>
          </w:p>
        </w:tc>
        <w:tc>
          <w:tcPr>
            <w:tcW w:w="7115" w:type="dxa"/>
            <w:vAlign w:val="center"/>
          </w:tcPr>
          <w:p w14:paraId="62B2B388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w ramach kryterium podlegać  będzie,  czy  kupowany  tabor kolejowy zawiera elementy poprawiające komfort podróży pasażerów takie jak: systemy klimatyzowania przedziałów pasażerskich, ergonomicznie zaprojektowane przestrzenie pasażerskie wyposażone w stojaki rowerowe, rozwiązania zapewniające kompleksową i bezpośrednią informację dla podróżnych.</w:t>
            </w:r>
          </w:p>
          <w:p w14:paraId="7C9E553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377BD6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896B9C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3960E20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8523D71" w14:textId="77777777" w:rsidTr="000F322F">
        <w:tc>
          <w:tcPr>
            <w:tcW w:w="1242" w:type="dxa"/>
            <w:vAlign w:val="center"/>
          </w:tcPr>
          <w:p w14:paraId="0AB3FCD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C.1.4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6ED8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Efekty jakościowe realizacji projektu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3607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w ramach kryterium będzie poddany wpływ na wzrost znaczenia transportu kolejowego w systemie transportowym województwa kujawsko-pomorskiego.</w:t>
            </w:r>
          </w:p>
          <w:p w14:paraId="0D42710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F7D6A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Realizacja projektu przyczyni się do:</w:t>
            </w:r>
          </w:p>
          <w:p w14:paraId="66F22007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wzrostu zdolności przewozowej</w:t>
            </w:r>
          </w:p>
          <w:p w14:paraId="71C38D33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skrócenia czasu przejazdu na linii, którą będzie obsługiwał zakupiony tabor</w:t>
            </w:r>
          </w:p>
          <w:p w14:paraId="760CC380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oszczędności kosztów eksploatacji i utrzymania taboru</w:t>
            </w:r>
          </w:p>
          <w:p w14:paraId="62B50DF1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E4CDE9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2BC4B0C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Tak/nie</w:t>
            </w:r>
          </w:p>
          <w:p w14:paraId="2C97D85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</w:tbl>
    <w:p w14:paraId="660C03B9" w14:textId="77777777" w:rsidR="005B0141" w:rsidRPr="005B0141" w:rsidRDefault="005B0141" w:rsidP="005B0141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75F7AAB8" w14:textId="77777777" w:rsidR="005B0141" w:rsidRPr="005B0141" w:rsidRDefault="005B0141" w:rsidP="005B0141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5B0141">
        <w:rPr>
          <w:rFonts w:ascii="Calibri" w:eastAsia="Calibri" w:hAnsi="Calibri" w:cs="Times New Roman"/>
          <w:sz w:val="18"/>
          <w:szCs w:val="18"/>
        </w:rPr>
        <w:t>Przyznanie punktów lub pozytywna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 tych zobowiązań będzie skutkowało zwrotem całości lub części otrzymanego dofinansowania.</w:t>
      </w:r>
    </w:p>
    <w:p w14:paraId="395D3EDE" w14:textId="77777777" w:rsidR="005B0141" w:rsidRPr="005B0141" w:rsidRDefault="005B0141" w:rsidP="005B0141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19FADE21" w14:textId="77777777" w:rsidR="009A77FA" w:rsidRDefault="001E0F5C"/>
    <w:sectPr w:rsidR="009A77FA" w:rsidSect="005B01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B605" w14:textId="77777777" w:rsidR="005B0141" w:rsidRDefault="005B0141" w:rsidP="005B0141">
      <w:pPr>
        <w:spacing w:after="0" w:line="240" w:lineRule="auto"/>
      </w:pPr>
      <w:r>
        <w:separator/>
      </w:r>
    </w:p>
  </w:endnote>
  <w:endnote w:type="continuationSeparator" w:id="0">
    <w:p w14:paraId="73607BF6" w14:textId="77777777" w:rsidR="005B0141" w:rsidRDefault="005B0141" w:rsidP="005B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6DE5" w14:textId="77777777" w:rsidR="005B0141" w:rsidRDefault="005B0141" w:rsidP="005B0141">
      <w:pPr>
        <w:spacing w:after="0" w:line="240" w:lineRule="auto"/>
      </w:pPr>
      <w:r>
        <w:separator/>
      </w:r>
    </w:p>
  </w:footnote>
  <w:footnote w:type="continuationSeparator" w:id="0">
    <w:p w14:paraId="1393947F" w14:textId="77777777" w:rsidR="005B0141" w:rsidRDefault="005B0141" w:rsidP="005B0141">
      <w:pPr>
        <w:spacing w:after="0" w:line="240" w:lineRule="auto"/>
      </w:pPr>
      <w:r>
        <w:continuationSeparator/>
      </w:r>
    </w:p>
  </w:footnote>
  <w:footnote w:id="1">
    <w:p w14:paraId="4941A563" w14:textId="77777777" w:rsidR="005B0141" w:rsidRPr="00A73567" w:rsidRDefault="005B0141" w:rsidP="005B0141">
      <w:pPr>
        <w:pStyle w:val="Tekstprzypisudolnego"/>
        <w:rPr>
          <w:sz w:val="16"/>
          <w:szCs w:val="16"/>
        </w:rPr>
      </w:pPr>
      <w:r w:rsidRPr="00713CE1">
        <w:rPr>
          <w:rStyle w:val="Odwoanieprzypisudolnego"/>
        </w:rPr>
        <w:footnoteRef/>
      </w:r>
      <w:r w:rsidRPr="00A73567">
        <w:rPr>
          <w:sz w:val="16"/>
          <w:szCs w:val="16"/>
        </w:rPr>
        <w:t xml:space="preserve"> Ilekroć w poniższych kryteriach mowa jest o wnioskodawcy, należy przez to rozumieć zarówno wnioskodawcę oraz partnera, chyba że kryterium stanowi inaczej.</w:t>
      </w:r>
    </w:p>
  </w:footnote>
  <w:footnote w:id="2">
    <w:p w14:paraId="76729F87" w14:textId="77777777" w:rsidR="005B0141" w:rsidRDefault="005B0141" w:rsidP="005B0141">
      <w:pPr>
        <w:pStyle w:val="Tekstprzypisudolnego"/>
        <w:jc w:val="both"/>
        <w:rPr>
          <w:sz w:val="16"/>
          <w:szCs w:val="16"/>
        </w:rPr>
      </w:pPr>
      <w:r w:rsidRPr="00713CE1">
        <w:rPr>
          <w:rStyle w:val="Odwoanieprzypisudolnego"/>
        </w:rPr>
        <w:footnoteRef/>
      </w:r>
      <w:r w:rsidRPr="00A73567">
        <w:rPr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</w:t>
      </w:r>
      <w:r>
        <w:rPr>
          <w:sz w:val="16"/>
          <w:szCs w:val="16"/>
        </w:rPr>
        <w:t xml:space="preserve">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3">
    <w:p w14:paraId="265EF2B5" w14:textId="77777777" w:rsidR="005B0141" w:rsidRPr="003A7397" w:rsidRDefault="005B0141" w:rsidP="005B014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A7397">
        <w:rPr>
          <w:sz w:val="16"/>
          <w:szCs w:val="16"/>
        </w:rPr>
        <w:t>Przetarg powinien być w trakcie realizacji lub być zakończony wynikiem pozytywnym.</w:t>
      </w:r>
    </w:p>
  </w:footnote>
  <w:footnote w:id="4">
    <w:p w14:paraId="2391DC8D" w14:textId="77777777" w:rsidR="005B0141" w:rsidRPr="00E009DF" w:rsidRDefault="005B0141" w:rsidP="005B0141">
      <w:pPr>
        <w:pStyle w:val="Tekstprzypisudolnego"/>
        <w:rPr>
          <w:sz w:val="16"/>
          <w:szCs w:val="16"/>
        </w:rPr>
      </w:pPr>
      <w:r w:rsidRPr="00D14539">
        <w:rPr>
          <w:rStyle w:val="Odwoanieprzypisudolnego"/>
        </w:rPr>
        <w:footnoteRef/>
      </w:r>
      <w:r w:rsidRPr="00D14539">
        <w:t xml:space="preserve"> </w:t>
      </w:r>
      <w:r w:rsidRPr="00E009DF">
        <w:rPr>
          <w:sz w:val="16"/>
          <w:szCs w:val="16"/>
        </w:rPr>
        <w:t>W przypadku zmiany art. 71 rozporządzenia 1303/2013 jego zaktualizowana wersja będzie obowiązywała od momentu wskazanego w noweli przedmiotowego rozporządzenia.</w:t>
      </w:r>
    </w:p>
  </w:footnote>
  <w:footnote w:id="5">
    <w:p w14:paraId="2DC6DC0C" w14:textId="77777777" w:rsidR="005B0141" w:rsidRDefault="005B0141" w:rsidP="005B014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A7397">
        <w:rPr>
          <w:sz w:val="16"/>
          <w:szCs w:val="16"/>
        </w:rPr>
        <w:t>Pod pojęciem zeroemisyjnego taboru kolejowego rozumie się tabor zasilany elektrycznie, wodorem bądź hybrydow</w:t>
      </w:r>
      <w:r>
        <w:rPr>
          <w:sz w:val="16"/>
          <w:szCs w:val="16"/>
          <w:lang w:val="pl-PL"/>
        </w:rPr>
        <w:t>y</w:t>
      </w:r>
      <w:r w:rsidRPr="003A7397">
        <w:rPr>
          <w:sz w:val="16"/>
          <w:szCs w:val="16"/>
        </w:rPr>
        <w:t>, tj. wykorzystując</w:t>
      </w:r>
      <w:r>
        <w:rPr>
          <w:sz w:val="16"/>
          <w:szCs w:val="16"/>
          <w:lang w:val="pl-PL"/>
        </w:rPr>
        <w:t>y</w:t>
      </w:r>
      <w:r w:rsidRPr="003A7397">
        <w:rPr>
          <w:sz w:val="16"/>
          <w:szCs w:val="16"/>
        </w:rPr>
        <w:t xml:space="preserve"> obok energii elektrycznej inne zeroemisyjne rozwiązania. </w:t>
      </w:r>
      <w:r>
        <w:rPr>
          <w:sz w:val="16"/>
          <w:szCs w:val="16"/>
          <w:lang w:val="pl-PL"/>
        </w:rPr>
        <w:t>N</w:t>
      </w:r>
      <w:r w:rsidRPr="003A7397">
        <w:rPr>
          <w:sz w:val="16"/>
          <w:szCs w:val="16"/>
        </w:rPr>
        <w:t>ie będą wspierane projekty polegające na zakupie taboru zasilanego CNG, LNG</w:t>
      </w:r>
      <w:r>
        <w:rPr>
          <w:sz w:val="16"/>
          <w:szCs w:val="16"/>
          <w:lang w:val="pl-PL"/>
        </w:rPr>
        <w:t>, dieslem</w:t>
      </w:r>
      <w:r w:rsidRPr="003A7397">
        <w:rPr>
          <w:sz w:val="16"/>
          <w:szCs w:val="16"/>
        </w:rPr>
        <w:t xml:space="preserve"> i innymi paliwami kopalnymi.</w:t>
      </w:r>
    </w:p>
  </w:footnote>
  <w:footnote w:id="6">
    <w:p w14:paraId="40F4957F" w14:textId="77777777" w:rsidR="005B0141" w:rsidRDefault="005B0141" w:rsidP="005B01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05CB">
        <w:rPr>
          <w:sz w:val="16"/>
          <w:szCs w:val="16"/>
        </w:rPr>
        <w:t>Dorobek prawny UE</w:t>
      </w:r>
      <w:r>
        <w:rPr>
          <w:sz w:val="16"/>
          <w:szCs w:val="16"/>
        </w:rPr>
        <w:t>.</w:t>
      </w:r>
    </w:p>
  </w:footnote>
  <w:footnote w:id="7">
    <w:p w14:paraId="0217FA83" w14:textId="77777777" w:rsidR="005B0141" w:rsidRDefault="005B0141" w:rsidP="005B014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Osoby z niepełnosprawnościami w rozumieniu ustawy z dnia 27 sierpnia 1997 r. o rehabilitacji zawodowej i społecznej oraz zatrudnianiu osób niepełnosprawnych (Dz. U. z 2021 r. poz. 573), a także osoby z zaburzeniami psychicznymi, o których mowa w ustawie z dnia 19 sierpnia 1994 r. o ochronie zdrowia psychicznego (Dz. U. z 2020 r. poz. 685).</w:t>
      </w:r>
    </w:p>
  </w:footnote>
  <w:footnote w:id="8">
    <w:p w14:paraId="6CF2311B" w14:textId="77777777" w:rsidR="005B0141" w:rsidRDefault="005B0141" w:rsidP="005B0141">
      <w:pPr>
        <w:pStyle w:val="Tekstprzypisudolnego"/>
        <w:jc w:val="both"/>
        <w:rPr>
          <w:sz w:val="16"/>
          <w:szCs w:val="16"/>
        </w:rPr>
      </w:pPr>
      <w:r w:rsidRPr="00A3229A">
        <w:rPr>
          <w:rStyle w:val="Odwoanieprzypisudolnego"/>
        </w:rPr>
        <w:footnoteRef/>
      </w:r>
      <w:r w:rsidRPr="00A3229A">
        <w:t xml:space="preserve"> </w:t>
      </w:r>
      <w:r>
        <w:rPr>
          <w:sz w:val="16"/>
          <w:szCs w:val="16"/>
        </w:rPr>
        <w:t xml:space="preserve">W przypadku modernizacji dostępność dotyczy co najmniej tych elementów budynku, które były przedmiotem współfinansowania. </w:t>
      </w:r>
    </w:p>
  </w:footnote>
  <w:footnote w:id="9">
    <w:p w14:paraId="2252B786" w14:textId="77777777" w:rsidR="005B0141" w:rsidRDefault="005B0141" w:rsidP="005B0141">
      <w:pPr>
        <w:pStyle w:val="Tekstprzypisudolnego"/>
        <w:jc w:val="both"/>
        <w:rPr>
          <w:sz w:val="16"/>
          <w:szCs w:val="16"/>
        </w:rPr>
      </w:pPr>
      <w:r w:rsidRPr="00A3229A">
        <w:rPr>
          <w:rStyle w:val="Odwoanieprzypisudolnego"/>
        </w:rPr>
        <w:footnoteRef/>
      </w:r>
      <w:r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0">
    <w:p w14:paraId="5A574AA6" w14:textId="77777777" w:rsidR="005B0141" w:rsidRDefault="005B0141" w:rsidP="005B0141">
      <w:pPr>
        <w:pStyle w:val="Tekstprzypisudolnego"/>
        <w:jc w:val="both"/>
        <w:rPr>
          <w:sz w:val="16"/>
          <w:szCs w:val="16"/>
        </w:rPr>
      </w:pPr>
      <w:r w:rsidRPr="00A3229A">
        <w:rPr>
          <w:rStyle w:val="Odwoanieprzypisudolnego"/>
        </w:rPr>
        <w:footnoteRef/>
      </w:r>
      <w:r w:rsidRPr="00A3229A">
        <w:t xml:space="preserve"> </w:t>
      </w:r>
      <w:r>
        <w:rPr>
          <w:sz w:val="16"/>
          <w:szCs w:val="16"/>
        </w:rPr>
        <w:t>Rozbudowa to powiększenie, rozszerzenie budowli, obszaru już zabudowanego, dobudowywanie nowych elementów.</w:t>
      </w:r>
    </w:p>
    <w:p w14:paraId="61D79A45" w14:textId="77777777" w:rsidR="005B0141" w:rsidRDefault="005B0141" w:rsidP="005B0141">
      <w:pPr>
        <w:pStyle w:val="Tekstprzypisudolnego"/>
      </w:pPr>
    </w:p>
  </w:footnote>
  <w:footnote w:id="11">
    <w:p w14:paraId="27462C59" w14:textId="77777777" w:rsidR="005B0141" w:rsidRPr="004B4F20" w:rsidRDefault="005B0141" w:rsidP="005B0141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B4F20">
        <w:rPr>
          <w:sz w:val="16"/>
          <w:szCs w:val="16"/>
        </w:rPr>
        <w:t xml:space="preserve">Przez Regulamin konkursu należy rozumieć Zasady składania i wyboru projektów pozakonkursowych w ramach Regionalnego Programu Operacyjnego Województwa Kujawsko-Pomorskiego na lata 2014-2020 </w:t>
      </w:r>
      <w:r>
        <w:rPr>
          <w:sz w:val="16"/>
          <w:szCs w:val="16"/>
        </w:rPr>
        <w:br/>
      </w:r>
      <w:r w:rsidRPr="004B4F20">
        <w:rPr>
          <w:sz w:val="16"/>
          <w:szCs w:val="16"/>
        </w:rPr>
        <w:t>w przypadku naboru w trybie pozakonkursowym.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1CCC"/>
    <w:multiLevelType w:val="hybridMultilevel"/>
    <w:tmpl w:val="D85A8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0C84"/>
    <w:multiLevelType w:val="hybridMultilevel"/>
    <w:tmpl w:val="D9ECE2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6EC1"/>
    <w:multiLevelType w:val="hybridMultilevel"/>
    <w:tmpl w:val="5FBC39AE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5B9C"/>
    <w:multiLevelType w:val="hybridMultilevel"/>
    <w:tmpl w:val="4C641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A7B"/>
    <w:multiLevelType w:val="hybridMultilevel"/>
    <w:tmpl w:val="5D40B28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B323B"/>
    <w:multiLevelType w:val="hybridMultilevel"/>
    <w:tmpl w:val="63BA4EF6"/>
    <w:lvl w:ilvl="0" w:tplc="5BC645B0">
      <w:start w:val="1"/>
      <w:numFmt w:val="bullet"/>
      <w:lvlText w:val="-"/>
      <w:lvlJc w:val="left"/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76EE3"/>
    <w:multiLevelType w:val="hybridMultilevel"/>
    <w:tmpl w:val="6A4A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F46F3"/>
    <w:multiLevelType w:val="hybridMultilevel"/>
    <w:tmpl w:val="3C9C8380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86A39"/>
    <w:multiLevelType w:val="hybridMultilevel"/>
    <w:tmpl w:val="CC3A7EFC"/>
    <w:lvl w:ilvl="0" w:tplc="5BC645B0">
      <w:start w:val="1"/>
      <w:numFmt w:val="bullet"/>
      <w:lvlText w:val="-"/>
      <w:lvlJc w:val="left"/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377368B3"/>
    <w:multiLevelType w:val="hybridMultilevel"/>
    <w:tmpl w:val="D2FEE48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57AF3"/>
    <w:multiLevelType w:val="hybridMultilevel"/>
    <w:tmpl w:val="3E3C1320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12F2E"/>
    <w:multiLevelType w:val="hybridMultilevel"/>
    <w:tmpl w:val="777654E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67B26"/>
    <w:multiLevelType w:val="hybridMultilevel"/>
    <w:tmpl w:val="82380212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57417"/>
    <w:multiLevelType w:val="hybridMultilevel"/>
    <w:tmpl w:val="71DA2FB4"/>
    <w:lvl w:ilvl="0" w:tplc="7E84F598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56F6B"/>
    <w:multiLevelType w:val="hybridMultilevel"/>
    <w:tmpl w:val="79F4209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3522E4"/>
    <w:multiLevelType w:val="hybridMultilevel"/>
    <w:tmpl w:val="8D14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33941"/>
    <w:multiLevelType w:val="hybridMultilevel"/>
    <w:tmpl w:val="B306705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35282"/>
    <w:multiLevelType w:val="hybridMultilevel"/>
    <w:tmpl w:val="78D87ED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10"/>
  </w:num>
  <w:num w:numId="5">
    <w:abstractNumId w:val="18"/>
  </w:num>
  <w:num w:numId="6">
    <w:abstractNumId w:val="1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12"/>
  </w:num>
  <w:num w:numId="11">
    <w:abstractNumId w:val="4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  <w:num w:numId="16">
    <w:abstractNumId w:val="3"/>
  </w:num>
  <w:num w:numId="17">
    <w:abstractNumId w:val="16"/>
  </w:num>
  <w:num w:numId="18">
    <w:abstractNumId w:val="0"/>
  </w:num>
  <w:num w:numId="19">
    <w:abstractNumId w:val="1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41"/>
    <w:rsid w:val="001E0F5C"/>
    <w:rsid w:val="00384186"/>
    <w:rsid w:val="004959E5"/>
    <w:rsid w:val="005B0141"/>
    <w:rsid w:val="00614D05"/>
    <w:rsid w:val="006F7297"/>
    <w:rsid w:val="00A329A1"/>
    <w:rsid w:val="00F3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AFFD"/>
  <w15:chartTrackingRefBased/>
  <w15:docId w15:val="{D74C8691-04D7-4CCA-A802-E6B3C8ED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5B0141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 w:cs="Times New Roman"/>
      <w:b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B0141"/>
    <w:rPr>
      <w:rFonts w:ascii="Tahoma" w:eastAsia="Times New Roman" w:hAnsi="Tahoma" w:cs="Times New Roman"/>
      <w:b/>
      <w:sz w:val="20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5B014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B014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5B014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B0141"/>
    <w:rPr>
      <w:vertAlign w:val="superscript"/>
    </w:rPr>
  </w:style>
  <w:style w:type="paragraph" w:customStyle="1" w:styleId="Default">
    <w:name w:val="Default"/>
    <w:link w:val="DefaultZnak"/>
    <w:qFormat/>
    <w:rsid w:val="005B01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 BS,Akapit z listą1"/>
    <w:basedOn w:val="Normalny"/>
    <w:link w:val="AkapitzlistZnak"/>
    <w:uiPriority w:val="34"/>
    <w:qFormat/>
    <w:rsid w:val="005B01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014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B0141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,Akapit z listą1 Znak"/>
    <w:link w:val="Akapitzlist"/>
    <w:uiPriority w:val="34"/>
    <w:qFormat/>
    <w:locked/>
    <w:rsid w:val="005B0141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DefaultZnak">
    <w:name w:val="Default Znak"/>
    <w:link w:val="Default"/>
    <w:rsid w:val="005B0141"/>
    <w:rPr>
      <w:rFonts w:ascii="Arial" w:eastAsia="Calibri" w:hAnsi="Arial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5B0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0141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0141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0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0141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14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141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B014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5B0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2519</Words>
  <Characters>15118</Characters>
  <Application>Microsoft Office Word</Application>
  <DocSecurity>0</DocSecurity>
  <Lines>125</Lines>
  <Paragraphs>35</Paragraphs>
  <ScaleCrop>false</ScaleCrop>
  <Company/>
  <LinksUpToDate>false</LinksUpToDate>
  <CharactersWithSpaces>17602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Maciej Sienkiewicz</cp:lastModifiedBy>
  <cp:revision>6</cp:revision>
  <dcterms:created xsi:type="dcterms:W3CDTF">2022-02-03T10:39:00Z</dcterms:created>
  <dcterms:modified xsi:type="dcterms:W3CDTF">2022-02-03T12:54:00Z</dcterms:modified>
</cp:coreProperties>
</file>