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74"/>
        <w:gridCol w:w="373"/>
        <w:gridCol w:w="2608"/>
        <w:gridCol w:w="4022"/>
        <w:gridCol w:w="2625"/>
        <w:gridCol w:w="158"/>
        <w:gridCol w:w="1601"/>
        <w:gridCol w:w="74"/>
        <w:gridCol w:w="1870"/>
        <w:gridCol w:w="37"/>
      </w:tblGrid>
      <w:tr w:rsidR="00937E80" w:rsidRPr="001E57EA" w:rsidTr="009353CC">
        <w:trPr>
          <w:gridAfter w:val="1"/>
          <w:wAfter w:w="13" w:type="pct"/>
          <w:trHeight w:val="2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4F0EB0" w:rsidTr="009353CC">
        <w:trPr>
          <w:gridAfter w:val="1"/>
          <w:wAfter w:w="13" w:type="pct"/>
          <w:trHeight w:val="8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0EB0" w:rsidRDefault="005103AA" w:rsidP="004F0EB0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sz w:val="20"/>
                <w:szCs w:val="20"/>
              </w:rPr>
            </w:pP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Załącznik do </w:t>
            </w:r>
            <w:r w:rsidR="00282046"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>U</w:t>
            </w: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chwały </w:t>
            </w:r>
            <w:r w:rsidR="00C96B12"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Nr </w:t>
            </w:r>
            <w:r w:rsidR="00C96B12">
              <w:rPr>
                <w:rFonts w:ascii="Calibri Light" w:eastAsia="Times New Roman" w:hAnsi="Calibri Light" w:cs="Times New Roman"/>
                <w:sz w:val="20"/>
                <w:szCs w:val="20"/>
              </w:rPr>
              <w:t>25</w:t>
            </w: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>/15</w:t>
            </w:r>
            <w:r w:rsidR="004F0EB0"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  <w:t xml:space="preserve">Komitetu Monitorującego </w:t>
            </w:r>
          </w:p>
          <w:p w:rsidR="005103AA" w:rsidRPr="004F0EB0" w:rsidRDefault="005103AA" w:rsidP="00C96B12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sz w:val="20"/>
                <w:szCs w:val="20"/>
              </w:rPr>
            </w:pP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Województwa Kujawsko-Pomorskiego </w:t>
            </w: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  <w:t xml:space="preserve">z </w:t>
            </w:r>
            <w:r w:rsidR="00C96B12"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dnia </w:t>
            </w:r>
            <w:r w:rsidR="00C96B12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29 </w:t>
            </w:r>
            <w:r w:rsid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października </w:t>
            </w: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>2015</w:t>
            </w:r>
            <w:r w:rsidR="004F0EB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</w:t>
            </w:r>
            <w:r w:rsidRPr="004F0EB0">
              <w:rPr>
                <w:rFonts w:ascii="Calibri Light" w:eastAsia="Times New Roman" w:hAnsi="Calibri Light" w:cs="Times New Roman"/>
                <w:sz w:val="20"/>
                <w:szCs w:val="20"/>
              </w:rPr>
              <w:t>r.</w:t>
            </w:r>
          </w:p>
        </w:tc>
      </w:tr>
      <w:tr w:rsidR="004A6774" w:rsidRPr="001E57EA" w:rsidTr="009353CC">
        <w:trPr>
          <w:gridAfter w:val="1"/>
          <w:wAfter w:w="13" w:type="pct"/>
          <w:trHeight w:val="675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77365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A1890" w:rsidRPr="001E57EA" w:rsidTr="009353CC">
        <w:trPr>
          <w:gridAfter w:val="1"/>
          <w:wAfter w:w="13" w:type="pct"/>
          <w:trHeight w:val="330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1890" w:rsidRPr="00C108B8" w:rsidRDefault="003A1890" w:rsidP="005832F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Pr="009C253B">
              <w:rPr>
                <w:sz w:val="24"/>
                <w:szCs w:val="24"/>
              </w:rPr>
              <w:t>12.</w:t>
            </w:r>
            <w:r w:rsidR="005832F6">
              <w:rPr>
                <w:sz w:val="24"/>
                <w:szCs w:val="24"/>
              </w:rPr>
              <w:t>2</w:t>
            </w:r>
            <w:r w:rsidRPr="009C253B">
              <w:rPr>
                <w:sz w:val="24"/>
                <w:szCs w:val="24"/>
              </w:rPr>
              <w:t xml:space="preserve"> </w:t>
            </w:r>
            <w:r w:rsidR="005832F6">
              <w:rPr>
                <w:sz w:val="24"/>
                <w:szCs w:val="24"/>
              </w:rPr>
              <w:t>Skuteczna informacja i promocja, w tym wzmocnienie potencjału beneficjentów Programu</w:t>
            </w:r>
          </w:p>
        </w:tc>
      </w:tr>
      <w:tr w:rsidR="004A6774" w:rsidRPr="001E57EA" w:rsidTr="009353CC">
        <w:trPr>
          <w:gridAfter w:val="1"/>
          <w:wAfter w:w="13" w:type="pct"/>
          <w:trHeight w:val="315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9C253B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Poddziałanie</w:t>
            </w:r>
            <w:proofErr w:type="spellEnd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brak</w:t>
            </w:r>
          </w:p>
          <w:p w:rsidR="00F77365" w:rsidRPr="009C253B" w:rsidRDefault="00F77365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b/>
                <w:sz w:val="24"/>
                <w:szCs w:val="24"/>
              </w:rPr>
              <w:t>Oś priorytetowa:</w:t>
            </w:r>
            <w:r w:rsidRPr="009C253B"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>12 POMOC TECHNICZNA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9353CC">
        <w:trPr>
          <w:gridAfter w:val="1"/>
          <w:wAfter w:w="13" w:type="pct"/>
          <w:trHeight w:val="270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C253B" w:rsidRDefault="008A6AE9" w:rsidP="009C25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nie dotyczy</w:t>
            </w:r>
          </w:p>
        </w:tc>
      </w:tr>
      <w:tr w:rsidR="004A6774" w:rsidRPr="001E57EA" w:rsidTr="009353CC">
        <w:trPr>
          <w:gridAfter w:val="1"/>
          <w:wAfter w:w="13" w:type="pct"/>
          <w:trHeight w:val="285"/>
        </w:trPr>
        <w:tc>
          <w:tcPr>
            <w:tcW w:w="4987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32F6" w:rsidRDefault="004A6774" w:rsidP="005832F6">
            <w:pPr>
              <w:spacing w:after="0" w:line="240" w:lineRule="auto"/>
              <w:jc w:val="both"/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35BEE" w:rsidRPr="009C253B">
              <w:rPr>
                <w:sz w:val="24"/>
                <w:szCs w:val="24"/>
              </w:rPr>
              <w:t xml:space="preserve">Cel szczegółowy </w:t>
            </w:r>
            <w:r w:rsidR="005832F6">
              <w:rPr>
                <w:sz w:val="24"/>
                <w:szCs w:val="24"/>
              </w:rPr>
              <w:t>3</w:t>
            </w:r>
            <w:r w:rsidR="00235BEE" w:rsidRPr="009C253B">
              <w:rPr>
                <w:sz w:val="24"/>
                <w:szCs w:val="24"/>
              </w:rPr>
              <w:t xml:space="preserve">) </w:t>
            </w:r>
            <w:r w:rsidR="005832F6">
              <w:t xml:space="preserve">Wzmocnienie kompetencji potencjalnych beneficjentów i beneficjentów Programu </w:t>
            </w:r>
          </w:p>
          <w:p w:rsidR="00864739" w:rsidRPr="009C253B" w:rsidRDefault="005832F6" w:rsidP="005832F6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  <w:r>
              <w:t xml:space="preserve">Cel szczegółowy 4) Zapewnienie dopasowanego do potrzeb odbiorców przekazu w zakresie celów i korzyści wynikających z wdrażania Programu </w:t>
            </w:r>
          </w:p>
        </w:tc>
      </w:tr>
      <w:tr w:rsidR="008807B1" w:rsidRPr="001E57EA" w:rsidTr="009353CC">
        <w:trPr>
          <w:trHeight w:val="255"/>
        </w:trPr>
        <w:tc>
          <w:tcPr>
            <w:tcW w:w="4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4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C937FF" w:rsidRPr="001E57EA" w:rsidTr="009353CC">
        <w:trPr>
          <w:gridAfter w:val="1"/>
          <w:wAfter w:w="13" w:type="pct"/>
          <w:trHeight w:val="1055"/>
        </w:trPr>
        <w:tc>
          <w:tcPr>
            <w:tcW w:w="1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9353CC">
        <w:trPr>
          <w:gridAfter w:val="1"/>
          <w:wAfter w:w="13" w:type="pct"/>
          <w:trHeight w:val="42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9353CC">
        <w:trPr>
          <w:gridAfter w:val="1"/>
          <w:wAfter w:w="13" w:type="pct"/>
          <w:trHeight w:val="30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9353CC">
        <w:trPr>
          <w:gridAfter w:val="1"/>
          <w:wAfter w:w="13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5BEE" w:rsidRDefault="0035305B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="00235BEE"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 Działań PT został </w:t>
            </w:r>
            <w:r w:rsidR="00235BEE">
              <w:rPr>
                <w:rFonts w:eastAsia="Times New Roman" w:cs="Times New Roman"/>
                <w:sz w:val="18"/>
                <w:szCs w:val="18"/>
              </w:rPr>
              <w:t>złożony we właściwym terminie i </w:t>
            </w:r>
            <w:r w:rsidR="00235BEE" w:rsidRPr="00235BEE">
              <w:rPr>
                <w:rFonts w:ascii="Calibri" w:eastAsia="Times New Roman" w:hAnsi="Calibri" w:cs="Times New Roman"/>
                <w:sz w:val="18"/>
                <w:szCs w:val="18"/>
              </w:rPr>
              <w:t>do właściwej instytucji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2F" w:rsidRDefault="000A222F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235BEE" w:rsidRPr="00235BEE" w:rsidRDefault="00235BEE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 czy Wnioskodawca złożył 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>Roczn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>u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Działań PT w terminie oraz do inst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 xml:space="preserve">ytucji wskazanej 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w wezwaniu do złożenia Rocznego Planu Działań PT</w:t>
            </w:r>
          </w:p>
          <w:p w:rsidR="00235BEE" w:rsidRPr="00235BEE" w:rsidRDefault="00235BEE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AD6728" w:rsidRDefault="00AD6728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5BEE" w:rsidRDefault="002A2193" w:rsidP="00F400B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057EA7" w:rsidRPr="001E5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Default="00057EA7" w:rsidP="00121EE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Default="00057EA7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Kompletność Rocznego Planu Działa</w:t>
            </w:r>
            <w:r w:rsidR="009939FA">
              <w:rPr>
                <w:rFonts w:eastAsia="Times New Roman" w:cs="Times New Roman"/>
                <w:sz w:val="18"/>
                <w:szCs w:val="18"/>
              </w:rPr>
              <w:t>ń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PT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FA" w:rsidRDefault="009939FA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057EA7" w:rsidRDefault="00057EA7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>Ocenie podlega czy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R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P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lan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D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ziałań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PT zawiera wszystkie strony, 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wszystkie strony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 xml:space="preserve"> zostały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ponumerowane, 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został złożony w 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wersji papierowej i elektronicznej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>, czy wszystkie wymagane pola zostały uzupełnione, czy wersj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>e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 xml:space="preserve"> papierowa i elektroniczna są tożsame, 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jest przyjęty uchwałą zarządu 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>został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 xml:space="preserve"> podpisany przez osobę upoważnioną</w:t>
            </w:r>
            <w:r w:rsidR="004F0EB0">
              <w:rPr>
                <w:rFonts w:ascii="Calibri" w:eastAsia="Times New Roman" w:hAnsi="Calibri" w:cs="Times New Roman"/>
                <w:sz w:val="18"/>
                <w:szCs w:val="18"/>
              </w:rPr>
              <w:t>.</w:t>
            </w:r>
            <w:bookmarkStart w:id="0" w:name="_GoBack"/>
            <w:bookmarkEnd w:id="0"/>
          </w:p>
          <w:p w:rsidR="009939FA" w:rsidRDefault="009939FA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9939FA" w:rsidRDefault="009939FA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Kryterium weryfikowane na podstawie treści 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Rocznego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Pr="00235BEE" w:rsidRDefault="002A2193" w:rsidP="00F40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posiadanych dokumentów. W takim </w:t>
            </w:r>
            <w:r>
              <w:rPr>
                <w:sz w:val="18"/>
                <w:szCs w:val="18"/>
              </w:rPr>
              <w:lastRenderedPageBreak/>
              <w:t>przypadku ocena może być negatywna)</w:t>
            </w:r>
          </w:p>
        </w:tc>
      </w:tr>
      <w:tr w:rsidR="006A2A02" w:rsidRPr="001E57EA" w:rsidTr="009353CC">
        <w:trPr>
          <w:gridAfter w:val="1"/>
          <w:wAfter w:w="13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6A2A02" w:rsidP="00121EE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39235C" w:rsidRDefault="00934266" w:rsidP="00757C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Zgodność okresu realizacji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Planu Działań PT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z okresem</w:t>
            </w:r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proofErr w:type="spellStart"/>
            <w:r w:rsidR="003E7FB6">
              <w:rPr>
                <w:rFonts w:ascii="Calibri" w:eastAsia="Times New Roman" w:hAnsi="Calibri" w:cs="Times New Roman"/>
                <w:sz w:val="18"/>
                <w:szCs w:val="18"/>
              </w:rPr>
              <w:t>kwalifikowalności</w:t>
            </w:r>
            <w:proofErr w:type="spellEnd"/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C108B8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realizacja Rocznego planu Działania PT zawiera się w datach granicznych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, tj. 1 styczeń 2014 do 30 czerwca 2023</w:t>
            </w:r>
            <w:r w:rsidR="00121EED">
              <w:rPr>
                <w:rFonts w:eastAsia="Times New Roman" w:cs="Times New Roman"/>
                <w:sz w:val="18"/>
                <w:szCs w:val="18"/>
              </w:rPr>
              <w:t xml:space="preserve"> r.</w:t>
            </w:r>
          </w:p>
          <w:p w:rsidR="00121EED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21EED" w:rsidRPr="0039235C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na podstawie treści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235BEE" w:rsidRDefault="002A2193" w:rsidP="00460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2650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Wydatki przewidziane w </w:t>
            </w:r>
            <w:r w:rsidR="00757CE8">
              <w:rPr>
                <w:rFonts w:eastAsia="Times New Roman" w:cs="Times New Roman"/>
                <w:sz w:val="18"/>
                <w:szCs w:val="18"/>
              </w:rPr>
              <w:t>Rocznym Planie Działań PT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265030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265030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wydatki przewidziane w proj</w:t>
            </w:r>
            <w:r>
              <w:rPr>
                <w:rFonts w:eastAsia="Times New Roman" w:cs="Times New Roman"/>
                <w:sz w:val="18"/>
                <w:szCs w:val="18"/>
              </w:rPr>
              <w:t>ekcie nie są współfinansowane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265030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265030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</w:t>
            </w:r>
            <w:r w:rsidRPr="009939FA">
              <w:rPr>
                <w:sz w:val="18"/>
                <w:szCs w:val="18"/>
              </w:rPr>
              <w:t xml:space="preserve">treść </w:t>
            </w:r>
            <w:r w:rsidR="00294F30" w:rsidRPr="009939FA">
              <w:rPr>
                <w:sz w:val="18"/>
                <w:szCs w:val="18"/>
              </w:rPr>
              <w:t>oświadczenia</w:t>
            </w:r>
            <w:r w:rsidRPr="009939FA">
              <w:rPr>
                <w:sz w:val="18"/>
                <w:szCs w:val="18"/>
              </w:rPr>
              <w:t xml:space="preserve"> stanowiącego integralną część </w:t>
            </w:r>
            <w:r w:rsidR="00121EED">
              <w:rPr>
                <w:sz w:val="18"/>
                <w:szCs w:val="18"/>
              </w:rPr>
              <w:t>Rocznego Planu Działań PT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343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21EED"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Realizacja projektu jest zgodna z przepisami art. 65 ust. 6 Rozporządzenia Parlamentu Europejskiego i Rady (UE) nr 1303/2013 z dnia 17 grudnia 2013 r.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Wnioskodawca złożył oświadczenie, że:</w:t>
            </w:r>
          </w:p>
          <w:p w:rsid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sym w:font="Symbol" w:char="F02D"/>
            </w:r>
            <w:r w:rsidRPr="00121EED">
              <w:rPr>
                <w:sz w:val="18"/>
                <w:szCs w:val="18"/>
              </w:rPr>
              <w:t xml:space="preserve"> 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projekt nie został fizycznie zakończony lub w pełni zrealizowany przed złożeniem wniosku o dofinansowanie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</w:t>
            </w:r>
            <w:r w:rsidR="006973F2" w:rsidRPr="00121EED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20.12.2013 r.; d</w:t>
            </w:r>
            <w:r w:rsidR="00294F30" w:rsidRPr="00121EED">
              <w:rPr>
                <w:sz w:val="18"/>
                <w:szCs w:val="18"/>
              </w:rPr>
              <w:t>alej: rozporządzenie 1303/2013);</w:t>
            </w:r>
          </w:p>
          <w:p w:rsidR="008052A1" w:rsidRPr="0039235C" w:rsidRDefault="008052A1" w:rsidP="008052A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>
              <w:rPr>
                <w:sz w:val="18"/>
                <w:szCs w:val="18"/>
              </w:rPr>
              <w:t>oczął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 albo, że realizując projekt przed dniem </w:t>
            </w:r>
            <w:r>
              <w:rPr>
                <w:sz w:val="18"/>
                <w:szCs w:val="18"/>
              </w:rPr>
              <w:t>złożenia wniosku, przestrzegał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>
              <w:rPr>
                <w:sz w:val="18"/>
                <w:szCs w:val="18"/>
              </w:rPr>
              <w:t>;</w:t>
            </w:r>
          </w:p>
          <w:p w:rsidR="008052A1" w:rsidRPr="0039235C" w:rsidRDefault="008052A1" w:rsidP="008052A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>
              <w:rPr>
                <w:sz w:val="18"/>
                <w:szCs w:val="18"/>
              </w:rPr>
              <w:t>.</w:t>
            </w:r>
          </w:p>
          <w:p w:rsidR="008052A1" w:rsidRPr="00121EED" w:rsidRDefault="008052A1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560FB9" w:rsidRPr="00121EED" w:rsidRDefault="00560FB9" w:rsidP="000D11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 xml:space="preserve">Kryterium weryfikowane w oparciu o treść </w:t>
            </w:r>
            <w:r w:rsidR="001B207E" w:rsidRPr="00121EED">
              <w:rPr>
                <w:sz w:val="18"/>
                <w:szCs w:val="18"/>
              </w:rPr>
              <w:t xml:space="preserve">oświadczenia </w:t>
            </w:r>
            <w:r w:rsidRPr="00121EED">
              <w:rPr>
                <w:sz w:val="18"/>
                <w:szCs w:val="18"/>
              </w:rPr>
              <w:t xml:space="preserve">stanowiącego integralną część </w:t>
            </w:r>
            <w:r w:rsidR="00121EED">
              <w:rPr>
                <w:sz w:val="18"/>
                <w:szCs w:val="18"/>
              </w:rPr>
              <w:t>Rocznego Planu Działań PT</w:t>
            </w:r>
            <w:r w:rsidRPr="00121EED">
              <w:rPr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9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</w:t>
            </w:r>
            <w:r w:rsidR="00237123">
              <w:rPr>
                <w:rFonts w:ascii="Calibri Light" w:eastAsia="Times New Roman" w:hAnsi="Calibri Light" w:cs="Times New Roman"/>
                <w:sz w:val="18"/>
                <w:szCs w:val="18"/>
              </w:rPr>
              <w:t>1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265030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</w:t>
            </w:r>
            <w:r w:rsidR="00265030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i krajowego 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projekt jest zgodny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właściwymi 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rzepisami prawa </w:t>
            </w:r>
            <w:r w:rsidR="00265030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krajowego.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156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tym dostępności dla osób z 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Pr="00680CAD" w:rsidRDefault="00560FB9" w:rsidP="00E10C7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wnioskodawca wykazał zgodność projektu 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proofErr w:type="spellStart"/>
            <w:r w:rsidRPr="00680CAD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0D11A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2A2193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986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A.1.8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9867EA" w:rsidRDefault="009867EA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7EA" w:rsidRDefault="009867EA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podlega, czy wnioskodawca wykazał, że projekt należy do wyjątku, do którego nie stosuje się standardu minimum lub  projekt jest zgodny z zasadą równości szans</w:t>
            </w:r>
            <w:r w:rsidR="00445209">
              <w:rPr>
                <w:rFonts w:eastAsia="Times New Roman" w:cs="Times New Roman"/>
                <w:sz w:val="18"/>
                <w:szCs w:val="18"/>
              </w:rPr>
              <w:t xml:space="preserve"> (na podstawie standardu minimum)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C96B12" w:rsidRPr="00A97139" w:rsidRDefault="00C96B12" w:rsidP="00C96B1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97139">
              <w:rPr>
                <w:sz w:val="18"/>
                <w:szCs w:val="18"/>
              </w:rPr>
              <w:t>Minimalna liczba wymaganych punktów niezbędnych do spełnienia standardu minimum wynosi 1.</w:t>
            </w:r>
          </w:p>
          <w:p w:rsidR="00C96B12" w:rsidRDefault="00C96B12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 oparciu o treść Rocznego Planu Działań PT.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2A219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986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A.1.9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Projekt jest zgodny  z zasadą zrównoważonego rozwoju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Ocenie podlega, czy wnioskodawca wykazał zgodność projektu z zasadą zrównoważonego rozwój (zgodnie z art. 8 Rozporządzenia Parlamentu Europejskiego i Rady (UE) nr 1303/2013 z dnia 17 grudnia 2013 r.).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44252F">
              <w:rPr>
                <w:sz w:val="18"/>
                <w:szCs w:val="18"/>
              </w:rPr>
              <w:t>Rocznego Planu Działań PT</w:t>
            </w:r>
            <w:r>
              <w:rPr>
                <w:sz w:val="18"/>
                <w:szCs w:val="18"/>
              </w:rPr>
              <w:t>.</w:t>
            </w:r>
          </w:p>
          <w:p w:rsidR="009867EA" w:rsidRDefault="009867EA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7EA" w:rsidRDefault="009867E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r>
              <w:rPr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576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9867EA">
            <w:pPr>
              <w:spacing w:after="0" w:line="240" w:lineRule="auto"/>
              <w:ind w:right="-18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</w:t>
            </w:r>
            <w:r w:rsidR="00237123">
              <w:rPr>
                <w:rFonts w:eastAsia="Times New Roman" w:cs="Times New Roman"/>
                <w:b/>
                <w:bCs/>
                <w:sz w:val="18"/>
                <w:szCs w:val="18"/>
              </w:rPr>
              <w:t>2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</w:p>
        </w:tc>
      </w:tr>
      <w:tr w:rsidR="003513A5" w:rsidRPr="001E57EA" w:rsidTr="009353CC">
        <w:trPr>
          <w:gridAfter w:val="1"/>
          <w:wAfter w:w="13" w:type="pct"/>
          <w:trHeight w:val="146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3513A5" w:rsidP="0023712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A.2.1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Pr="003513A5" w:rsidRDefault="003513A5" w:rsidP="002208E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513A5">
              <w:rPr>
                <w:rFonts w:eastAsia="Times New Roman" w:cs="Times New Roman"/>
                <w:sz w:val="18"/>
                <w:szCs w:val="18"/>
              </w:rPr>
              <w:t xml:space="preserve">Wpływ </w:t>
            </w:r>
            <w:r>
              <w:rPr>
                <w:rFonts w:eastAsia="Times New Roman" w:cs="Times New Roman"/>
                <w:sz w:val="18"/>
                <w:szCs w:val="18"/>
              </w:rPr>
              <w:t>działań zaplanowanych w Rocznym Planie Działań PT na zwiększenie efektywności funkcjonowania instytucji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73070B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zaplanowane w Rocznym Planie Działań PT wpływają na sprawne zarządzanie i wdrażanie przez właściwe instytucje zadań związanych z realizacją RPO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4B041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680CAD" w:rsidRDefault="004B0416" w:rsidP="004B041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  <w:p w:rsidR="004B0416" w:rsidRPr="00680CAD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A5" w:rsidRPr="008D6175" w:rsidRDefault="002A2193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4B0416" w:rsidRPr="001E57EA" w:rsidTr="009353CC">
        <w:trPr>
          <w:gridAfter w:val="1"/>
          <w:wAfter w:w="13" w:type="pct"/>
          <w:trHeight w:val="16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237123" w:rsidRDefault="004B0416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lastRenderedPageBreak/>
              <w:t>A.</w:t>
            </w:r>
            <w:r>
              <w:rPr>
                <w:rFonts w:eastAsia="Times New Roman" w:cs="Times New Roman"/>
                <w:sz w:val="18"/>
                <w:szCs w:val="18"/>
              </w:rPr>
              <w:t>2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155115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</w:t>
            </w:r>
            <w:r w:rsidR="004B0416">
              <w:rPr>
                <w:rFonts w:eastAsia="Times New Roman" w:cs="Times New Roman"/>
                <w:sz w:val="18"/>
                <w:szCs w:val="18"/>
              </w:rPr>
              <w:t>iezbędność wydatków do realizacji zaplanowanych działań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zbędność </w:t>
            </w:r>
            <w:r w:rsidR="00111564">
              <w:rPr>
                <w:rFonts w:eastAsia="Times New Roman" w:cs="Times New Roman"/>
                <w:sz w:val="18"/>
                <w:szCs w:val="18"/>
              </w:rPr>
              <w:t>za</w:t>
            </w:r>
            <w:r>
              <w:rPr>
                <w:rFonts w:eastAsia="Times New Roman" w:cs="Times New Roman"/>
                <w:sz w:val="18"/>
                <w:szCs w:val="18"/>
              </w:rPr>
              <w:t>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4B0416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09216E" w:rsidRDefault="004B0416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 xml:space="preserve">ne w 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416" w:rsidRPr="004B0416" w:rsidRDefault="002A2193" w:rsidP="004B04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3D538C" w:rsidRPr="001E57EA" w:rsidTr="009353CC">
        <w:trPr>
          <w:gridAfter w:val="1"/>
          <w:wAfter w:w="13" w:type="pct"/>
          <w:trHeight w:val="157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>A.</w:t>
            </w:r>
            <w:r w:rsidR="003513A5" w:rsidRPr="00121EED">
              <w:rPr>
                <w:rFonts w:eastAsia="Times New Roman" w:cs="Times New Roman"/>
                <w:sz w:val="18"/>
                <w:szCs w:val="18"/>
              </w:rPr>
              <w:t>2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121EED">
              <w:rPr>
                <w:rFonts w:eastAsia="Times New Roman" w:cs="Times New Roman"/>
                <w:sz w:val="18"/>
                <w:szCs w:val="18"/>
              </w:rPr>
              <w:t>K</w:t>
            </w:r>
            <w:r w:rsidR="003D538C" w:rsidRPr="00121EED">
              <w:rPr>
                <w:rFonts w:eastAsia="Times New Roman" w:cs="Times New Roman"/>
                <w:sz w:val="18"/>
                <w:szCs w:val="18"/>
              </w:rPr>
              <w:t>walifikowalność</w:t>
            </w:r>
            <w:proofErr w:type="spellEnd"/>
            <w:r w:rsidR="003D538C" w:rsidRPr="00121EED">
              <w:rPr>
                <w:rFonts w:eastAsia="Times New Roman" w:cs="Times New Roman"/>
                <w:sz w:val="18"/>
                <w:szCs w:val="18"/>
              </w:rPr>
              <w:t xml:space="preserve"> wydatków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Ocenie podlega </w:t>
            </w:r>
            <w:proofErr w:type="spellStart"/>
            <w:r w:rsidRPr="00121EED">
              <w:rPr>
                <w:rFonts w:eastAsia="Times New Roman" w:cs="Times New Roman"/>
                <w:sz w:val="18"/>
                <w:szCs w:val="18"/>
              </w:rPr>
              <w:t>kwalifikowalność</w:t>
            </w:r>
            <w:proofErr w:type="spellEnd"/>
            <w:r w:rsidRPr="00121EED">
              <w:rPr>
                <w:rFonts w:eastAsia="Times New Roman" w:cs="Times New Roman"/>
                <w:sz w:val="18"/>
                <w:szCs w:val="18"/>
              </w:rPr>
              <w:t xml:space="preserve"> wydatków pod kątem zgodności z Wytycznymi w zakresie kwalifikowania wydatków w ramach Europejskiego Funduszu Rozwoju Regionalnego, Europejskiego Funduszu Społecznego oraz Funduszu Spójności na lata 2014-2020.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W szczególności: </w:t>
            </w:r>
            <w:r w:rsidR="003164EC">
              <w:rPr>
                <w:rFonts w:eastAsia="Times New Roman" w:cs="Times New Roman"/>
                <w:sz w:val="18"/>
                <w:szCs w:val="18"/>
              </w:rPr>
              <w:t>o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cenie podlega czy wydatki wskazane w projekcie spełniają warunki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, tj. czy zostały poniesione w okresie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wydatków (tj. między dniem 1 stycznia 2014 r. a dniem 30 czerwca 2023 r.); czy wydatki są zgodne z</w:t>
            </w:r>
            <w:r w:rsidR="009353CC">
              <w:rPr>
                <w:rFonts w:eastAsia="Times New Roman" w:cs="Times New Roman"/>
                <w:sz w:val="18"/>
                <w:szCs w:val="18"/>
              </w:rPr>
              <w:t> 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obowiązującymi przepisami prawa unijnego oraz prawa krajowego; czy wydatki są zgodne z RPO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i 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SzOOP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; czy wydatki zostały uwzględnione w budżecie projektu; czy wydatki są niezbędne do realizacji celów projektu i zostaną poniesione w związku z realizacją projektu; czy wydatki zostaną dokonane w sposób racjonalny i efektywny z zachowaniem zasad uzyskiwania lepszych efektów z danych nakładów; czy wydatki zostaną dokonane w sposób oszczędny, tzn. w oparciu o zasadę dążenia do uzyskania założonych efektów przy jak najniższej kwocie wydatku; czy koszty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kwalifikowalne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są uzasadnione w odpowiedniej wysokości.</w:t>
            </w: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E57EA" w:rsidRDefault="002A2193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830DD4" w:rsidRPr="001E57EA" w:rsidTr="009353CC">
        <w:trPr>
          <w:gridAfter w:val="1"/>
          <w:wAfter w:w="13" w:type="pct"/>
          <w:trHeight w:val="152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513A5" w:rsidRDefault="00830DD4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Wartość Rocznego Planu Działań PT nie przekracza wysokości środków dostępnych w alokacji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zaplanowana wartość Rocznego Planu Działań </w:t>
            </w:r>
            <w:r w:rsidR="00C108B8">
              <w:rPr>
                <w:rFonts w:eastAsia="Times New Roman" w:cs="Times New Roman"/>
                <w:sz w:val="18"/>
                <w:szCs w:val="18"/>
              </w:rPr>
              <w:t>PT w danych typach wydatków mieści się w zaplanowanej alokacji dla poszczególnych kategorii interwencji.</w:t>
            </w:r>
          </w:p>
          <w:p w:rsidR="008A2D57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8A2D57" w:rsidRPr="00680CAD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 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33B7A" w:rsidRDefault="002A2193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9353CC">
        <w:trPr>
          <w:gridAfter w:val="1"/>
          <w:wAfter w:w="13" w:type="pct"/>
          <w:trHeight w:val="57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1E57EA" w:rsidTr="009353CC">
        <w:trPr>
          <w:gridAfter w:val="1"/>
          <w:wAfter w:w="13" w:type="pct"/>
          <w:trHeight w:val="360"/>
        </w:trPr>
        <w:tc>
          <w:tcPr>
            <w:tcW w:w="498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426ED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B.1 Kryteria dostępu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55A83" w:rsidRPr="001E57EA" w:rsidTr="009353CC">
        <w:trPr>
          <w:gridAfter w:val="1"/>
          <w:wAfter w:w="13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1E57EA" w:rsidRDefault="00555A83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Działania w ramach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projektu wspiera</w:t>
            </w:r>
            <w:r>
              <w:rPr>
                <w:rFonts w:eastAsia="Times New Roman" w:cs="Times New Roman"/>
                <w:sz w:val="18"/>
                <w:szCs w:val="18"/>
              </w:rPr>
              <w:t>ją</w:t>
            </w:r>
            <w:r w:rsidR="00555A83">
              <w:rPr>
                <w:rFonts w:eastAsia="Times New Roman" w:cs="Times New Roman"/>
                <w:sz w:val="18"/>
                <w:szCs w:val="18"/>
              </w:rPr>
              <w:t xml:space="preserve"> realizację celu określonego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w 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 Działaniu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2F6" w:rsidRPr="005832F6" w:rsidRDefault="00555A83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28127B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,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czy zaplanowan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działania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w ramach projektu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są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zgodn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>z cel</w:t>
            </w:r>
            <w:r w:rsidR="00AD1C45">
              <w:rPr>
                <w:rFonts w:ascii="Calibri" w:hAnsi="Calibri" w:cs="Calibri"/>
                <w:bCs/>
                <w:sz w:val="18"/>
                <w:szCs w:val="18"/>
              </w:rPr>
              <w:t>ami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>Działania</w:t>
            </w:r>
            <w:r w:rsidR="00C74399" w:rsidRPr="0028127B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tj.</w:t>
            </w:r>
            <w:r w:rsidR="0028127B"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5832F6" w:rsidRPr="005832F6">
              <w:rPr>
                <w:rFonts w:eastAsia="Times New Roman" w:cs="Times New Roman"/>
                <w:sz w:val="18"/>
                <w:szCs w:val="18"/>
              </w:rPr>
              <w:t>Cel 3) Wzmocnienie kompetencj</w:t>
            </w:r>
            <w:r w:rsidR="005832F6">
              <w:rPr>
                <w:rFonts w:eastAsia="Times New Roman" w:cs="Times New Roman"/>
                <w:sz w:val="18"/>
                <w:szCs w:val="18"/>
              </w:rPr>
              <w:t>i potencjalnych beneficjentów i </w:t>
            </w:r>
            <w:r w:rsidR="005832F6" w:rsidRPr="005832F6">
              <w:rPr>
                <w:rFonts w:eastAsia="Times New Roman" w:cs="Times New Roman"/>
                <w:sz w:val="18"/>
                <w:szCs w:val="18"/>
              </w:rPr>
              <w:t xml:space="preserve">beneficjentów Programu </w:t>
            </w:r>
          </w:p>
          <w:p w:rsidR="00555A83" w:rsidRDefault="005832F6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832F6">
              <w:rPr>
                <w:rFonts w:eastAsia="Times New Roman" w:cs="Times New Roman"/>
                <w:sz w:val="18"/>
                <w:szCs w:val="18"/>
              </w:rPr>
              <w:t xml:space="preserve">Cel 4) Zapewnienie dopasowanego do potrzeb odbiorców przekazu w zakresie celów i korzyści wynikających z wdrażania Programu </w:t>
            </w:r>
          </w:p>
          <w:p w:rsidR="005832F6" w:rsidRPr="0028127B" w:rsidRDefault="005832F6" w:rsidP="005832F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472993" w:rsidRDefault="00555A83" w:rsidP="00267FB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8127B">
              <w:rPr>
                <w:sz w:val="18"/>
                <w:szCs w:val="18"/>
              </w:rPr>
              <w:t xml:space="preserve">Kryterium weryfikowane w oparciu o </w:t>
            </w:r>
            <w:r w:rsidRPr="007F4565">
              <w:rPr>
                <w:sz w:val="18"/>
                <w:szCs w:val="18"/>
              </w:rPr>
              <w:t xml:space="preserve">treść </w:t>
            </w:r>
            <w:r w:rsidR="006B390C" w:rsidRPr="007F4565">
              <w:rPr>
                <w:sz w:val="18"/>
                <w:szCs w:val="18"/>
              </w:rPr>
              <w:t>Rocznego Planu Działań PT</w:t>
            </w:r>
            <w:r w:rsidRPr="007F4565">
              <w:rPr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555A83" w:rsidP="00267FB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</w:t>
            </w:r>
            <w:r w:rsidR="00C85DE9">
              <w:rPr>
                <w:sz w:val="18"/>
                <w:szCs w:val="18"/>
              </w:rPr>
              <w:lastRenderedPageBreak/>
              <w:t>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315B4E" w:rsidP="00AD1C4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Projekt jest zgodny z właściwym typem projektu przewidzianym</w:t>
            </w:r>
            <w:r w:rsidR="00560FB9" w:rsidRPr="00315B4E">
              <w:rPr>
                <w:rFonts w:eastAsia="Times New Roman" w:cs="Times New Roman"/>
                <w:sz w:val="18"/>
                <w:szCs w:val="18"/>
              </w:rPr>
              <w:t xml:space="preserve"> d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o wsparcia w ramach 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</w:p>
        </w:tc>
        <w:tc>
          <w:tcPr>
            <w:tcW w:w="24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97" w:rsidRPr="00F23C03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E3678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projekt jest zgodny z </w:t>
            </w:r>
            <w:r w:rsidR="0028127B" w:rsidRPr="00F23C03">
              <w:rPr>
                <w:rFonts w:eastAsia="Times New Roman" w:cs="Times New Roman"/>
                <w:sz w:val="18"/>
                <w:szCs w:val="18"/>
              </w:rPr>
              <w:t xml:space="preserve">typem projektu wskazanym w </w:t>
            </w:r>
            <w:proofErr w:type="spellStart"/>
            <w:r w:rsidR="0028127B" w:rsidRPr="00F23C03">
              <w:rPr>
                <w:rFonts w:eastAsia="Times New Roman" w:cs="Times New Roman"/>
                <w:sz w:val="18"/>
                <w:szCs w:val="18"/>
              </w:rPr>
              <w:t>SzOOP</w:t>
            </w:r>
            <w:proofErr w:type="spellEnd"/>
            <w:r w:rsidR="00F77497" w:rsidRPr="00F23C03">
              <w:rPr>
                <w:rFonts w:eastAsia="Times New Roman" w:cs="Times New Roman"/>
                <w:sz w:val="18"/>
                <w:szCs w:val="18"/>
              </w:rPr>
              <w:t>, tj.: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1. Organizacja szkoleń, konferencji, seminariów, warsztatów, wizyt studyjnych krajowych i zagranicznych, spotkań informacyjnych dla potencjalnych oraz faktycznych beneficjentów, w tym również szkoleń specjalistycznych odpowiadających potrzebom potencjalnych i faktycznych beneficjentów zidentyfikowanym na poziomie wdrażania poszczególnych projektów (np. w zakresie rozliczania projektów, czy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zarządzania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 projektami).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2. Organizacja działań informacyjno-promocyjnych, w tym m.in. kampanii o szerokim zasięgu na temat możliwości uzyskania wsparcia, przygotowania projektów, a także realizacji,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zarządzania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, rozliczania i monitorowania projektów finansowanych z RPO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3. Organizacja działań informacyjno-promocyjnych na temat zaangażowania środków oraz efektów wdrażania Regionalnego Programu Operacyjnego Województwa Kujawsko-Pomorskiego w regionie i poza jego granicami (w tym: konkursy, kampanie o szerokim zasięgu, imprezy promocyjne, itp.).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4. Przygotowanie i rozpowszechnianie materiałów/publikacji informacyjnych i</w:t>
            </w:r>
            <w:r w:rsidR="009353CC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 </w:t>
            </w: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promocyjnych dotyczących Programu (w tym biuletynu informacyjnego, dokumentów RPO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, wytycznych dla beneficjentów, materiałów promocyjnych, itp.).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5. Przygotowanie, administrowanie i rozwój strony internetowej poświęconej tematyce RPO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6. Współpraca z mediami.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7. Finansowanie zadań związanych z zamknięciem RPO </w:t>
            </w:r>
            <w:proofErr w:type="spellStart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8. Realizacja zadań związanych z przygotowaniem perspektywy finansowej po roku 2020. </w:t>
            </w:r>
          </w:p>
          <w:p w:rsidR="00B15242" w:rsidRPr="00B15242" w:rsidRDefault="00B15242" w:rsidP="00B15242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B15242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9. Inne kategorie wydatków, uznane przez IZ za niezbędne, wynikające z Rocznych Planów Działań.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560FB9" w:rsidRPr="00F23C03" w:rsidRDefault="00560FB9" w:rsidP="00315B4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Kryterium weryfikowane w oparciu</w:t>
            </w:r>
            <w:r w:rsidR="00315B4E" w:rsidRPr="00F23C0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 xml:space="preserve">o treść </w:t>
            </w:r>
            <w:r w:rsidR="006B390C" w:rsidRPr="007F4565">
              <w:rPr>
                <w:sz w:val="18"/>
                <w:szCs w:val="18"/>
              </w:rPr>
              <w:t>Rocznego Planu Działań PT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560FB9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  <w:r w:rsidRPr="00315B4E"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  <w:t> </w:t>
            </w:r>
          </w:p>
        </w:tc>
      </w:tr>
      <w:tr w:rsidR="00560FB9" w:rsidRPr="001E57EA" w:rsidTr="009353CC">
        <w:trPr>
          <w:gridAfter w:val="1"/>
          <w:wAfter w:w="13" w:type="pct"/>
          <w:trHeight w:val="154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8729B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</w:t>
            </w:r>
            <w:r w:rsidR="00240DF8">
              <w:rPr>
                <w:rFonts w:eastAsia="Times New Roman" w:cs="Times New Roman"/>
                <w:sz w:val="18"/>
                <w:szCs w:val="18"/>
              </w:rPr>
              <w:t>jest podmiotem uprawnionym do złożenia wniosku o dofinansowanie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A1" w:rsidRPr="00315B4E" w:rsidRDefault="00560FB9" w:rsidP="008052A1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F42E9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Wnioskodawca </w:t>
            </w:r>
            <w:r w:rsidR="00F23C03">
              <w:rPr>
                <w:rFonts w:eastAsia="Times New Roman" w:cs="Times New Roman"/>
                <w:sz w:val="18"/>
                <w:szCs w:val="18"/>
              </w:rPr>
              <w:t>jest</w:t>
            </w:r>
            <w:r w:rsidR="00F23C03" w:rsidRPr="00315B4E">
              <w:rPr>
                <w:rFonts w:eastAsia="Times New Roman" w:cs="Times New Roman"/>
                <w:sz w:val="18"/>
                <w:szCs w:val="18"/>
              </w:rPr>
              <w:t xml:space="preserve"> podmiot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em 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 xml:space="preserve">kwalifikującymi się do wsparcia. </w:t>
            </w:r>
            <w:r w:rsidR="008052A1">
              <w:rPr>
                <w:rFonts w:eastAsia="Times New Roman" w:cs="Times New Roman"/>
                <w:sz w:val="18"/>
                <w:szCs w:val="18"/>
              </w:rPr>
              <w:t xml:space="preserve">- tj. czy zgodnie z Opisem Funkcji i Procedur, jest instytucją realizującą RPO </w:t>
            </w:r>
            <w:proofErr w:type="spellStart"/>
            <w:r w:rsidR="008052A1"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8052A1">
              <w:rPr>
                <w:rFonts w:eastAsia="Times New Roman" w:cs="Times New Roman"/>
                <w:sz w:val="18"/>
                <w:szCs w:val="18"/>
              </w:rPr>
              <w:t xml:space="preserve"> 2014-2020</w:t>
            </w:r>
          </w:p>
          <w:p w:rsidR="00560FB9" w:rsidRPr="00315B4E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  <w:p w:rsidR="00560FB9" w:rsidRPr="00315B4E" w:rsidRDefault="00560FB9" w:rsidP="00315B4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</w:t>
            </w:r>
            <w:r w:rsidR="00315B4E">
              <w:rPr>
                <w:sz w:val="18"/>
                <w:szCs w:val="18"/>
              </w:rPr>
              <w:t xml:space="preserve"> </w:t>
            </w:r>
            <w:r w:rsidRPr="00315B4E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6B390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46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5D3DD3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72" w:rsidRPr="003C0272" w:rsidRDefault="00560FB9" w:rsidP="003C0272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Ocenia podlega</w:t>
            </w:r>
            <w:r w:rsidR="00F42E9A" w:rsidRPr="003C0272">
              <w:rPr>
                <w:sz w:val="18"/>
                <w:szCs w:val="18"/>
              </w:rPr>
              <w:t>,</w:t>
            </w:r>
            <w:r w:rsidRPr="003C0272">
              <w:rPr>
                <w:sz w:val="18"/>
                <w:szCs w:val="18"/>
              </w:rPr>
              <w:t xml:space="preserve"> czy projekt jest skierowany do </w:t>
            </w:r>
            <w:r w:rsidR="00810FDD">
              <w:rPr>
                <w:sz w:val="18"/>
                <w:szCs w:val="18"/>
              </w:rPr>
              <w:t xml:space="preserve">właściwych </w:t>
            </w:r>
            <w:r w:rsidRPr="003C0272">
              <w:rPr>
                <w:sz w:val="18"/>
                <w:szCs w:val="18"/>
              </w:rPr>
              <w:t>grup docelowych</w:t>
            </w:r>
            <w:r w:rsidR="00472993" w:rsidRPr="003C0272">
              <w:rPr>
                <w:sz w:val="18"/>
                <w:szCs w:val="18"/>
              </w:rPr>
              <w:t>:</w:t>
            </w:r>
          </w:p>
          <w:p w:rsidR="00D22944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faktyczni,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potencjalni,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uczestnicy projektów faktyczni i potencjalni,</w:t>
            </w:r>
          </w:p>
          <w:p w:rsidR="00E9290E" w:rsidRDefault="00E9290E" w:rsidP="00E9290E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odbiorcy rezultatów</w:t>
            </w:r>
          </w:p>
          <w:p w:rsidR="0001006C" w:rsidRPr="003C0272" w:rsidRDefault="0001006C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472993" w:rsidRDefault="00560FB9" w:rsidP="0047299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Kryterium weryfikowane w oparciu</w:t>
            </w:r>
            <w:r w:rsidR="00472993" w:rsidRPr="003C0272">
              <w:rPr>
                <w:sz w:val="18"/>
                <w:szCs w:val="18"/>
              </w:rPr>
              <w:t xml:space="preserve"> </w:t>
            </w:r>
            <w:r w:rsidRPr="003C0272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6B390C" w:rsidP="006B390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9353CC">
        <w:trPr>
          <w:gridAfter w:val="1"/>
          <w:wAfter w:w="13" w:type="pct"/>
          <w:trHeight w:val="10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E662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highlight w:val="yellow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D3DD3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665382"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 w:rsidR="00386208">
              <w:rPr>
                <w:rFonts w:eastAsia="Times New Roman" w:cs="Times New Roman"/>
                <w:sz w:val="18"/>
                <w:szCs w:val="18"/>
              </w:rPr>
              <w:t>stanowi nie mniej niż 15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% kosztów </w:t>
            </w:r>
            <w:proofErr w:type="spellStart"/>
            <w:r w:rsidRPr="0050336C">
              <w:rPr>
                <w:rFonts w:eastAsia="Times New Roman" w:cs="Times New Roman"/>
                <w:sz w:val="18"/>
                <w:szCs w:val="18"/>
              </w:rPr>
              <w:t>kwalifikowalnych</w:t>
            </w:r>
            <w:proofErr w:type="spellEnd"/>
            <w:r w:rsidRPr="005033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50336C" w:rsidRPr="0050336C">
              <w:rPr>
                <w:rFonts w:eastAsia="Times New Roman" w:cs="Times New Roman"/>
                <w:sz w:val="18"/>
                <w:szCs w:val="18"/>
              </w:rPr>
              <w:t>projektu.</w:t>
            </w:r>
          </w:p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 w:rsidR="0050336C" w:rsidRPr="0050336C"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6B390C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9353CC">
        <w:trPr>
          <w:gridAfter w:val="1"/>
          <w:wAfter w:w="13" w:type="pct"/>
          <w:trHeight w:val="9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Wykonalność zadań ujętych w Rocznym Planie Działań PT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 czy działania zaplanowane w Rocznym Planie Działań PT są realne do wykonania zgodnie z harmonogramem realizacji.</w:t>
            </w: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9353CC">
        <w:trPr>
          <w:gridAfter w:val="1"/>
          <w:wAfter w:w="13" w:type="pct"/>
          <w:trHeight w:val="141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7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Racjonalność i efektywność wydatków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wydatki zaplanowane w Rocznym Planie Działań PT 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charakteryzują się racjonalnością i przyczyniają się do efektywnej realizacji działań (efektywność kosztowa projektu), czy spełniają wymogi efektywnego </w:t>
            </w:r>
            <w:proofErr w:type="spellStart"/>
            <w:r w:rsidR="00436536">
              <w:rPr>
                <w:rFonts w:eastAsia="Times New Roman" w:cs="Times New Roman"/>
                <w:sz w:val="18"/>
                <w:szCs w:val="18"/>
              </w:rPr>
              <w:t>zarządzania</w:t>
            </w:r>
            <w:proofErr w:type="spellEnd"/>
            <w:r w:rsidR="00436536">
              <w:rPr>
                <w:rFonts w:eastAsia="Times New Roman" w:cs="Times New Roman"/>
                <w:sz w:val="18"/>
                <w:szCs w:val="18"/>
              </w:rPr>
              <w:t xml:space="preserve"> finansami </w:t>
            </w:r>
          </w:p>
          <w:p w:rsidR="004E496D" w:rsidRDefault="004E496D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E496D" w:rsidRDefault="00B5648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4E496D" w:rsidRPr="001E57EA" w:rsidTr="009353CC">
        <w:trPr>
          <w:gridAfter w:val="1"/>
          <w:wAfter w:w="13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Default="004E496D" w:rsidP="00B1524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B15242"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Default="004E496D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Zgodność z założeniami dotyczącymi prowadzenia działań informacyjno-komunikacyjnych</w:t>
            </w:r>
          </w:p>
        </w:tc>
        <w:tc>
          <w:tcPr>
            <w:tcW w:w="24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2A1" w:rsidRDefault="004E496D" w:rsidP="004E496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 czy zadania zaplanowane w zakresie informacji i komunikacji zawarte w Rocznym Planie Działań PT są zgodne z zasadami określonymi w Wytycznych w zakresie informacji i promocji programów operacyjnych polityki spójności na lata 2014-2020</w:t>
            </w:r>
            <w:r w:rsidR="008052A1">
              <w:rPr>
                <w:rFonts w:eastAsia="Times New Roman" w:cs="Times New Roman"/>
                <w:sz w:val="18"/>
                <w:szCs w:val="18"/>
              </w:rPr>
              <w:t xml:space="preserve"> oraz Strategią komunikacji Regionalnego Programu Operacyjnego Województwa Kujawsko-Pomorskiego.</w:t>
            </w:r>
          </w:p>
          <w:p w:rsidR="00B5648C" w:rsidRDefault="00B5648C" w:rsidP="004E496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B5648C" w:rsidRDefault="00B5648C" w:rsidP="006B390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</w:t>
            </w:r>
            <w:r w:rsidRPr="007F4565">
              <w:rPr>
                <w:sz w:val="18"/>
                <w:szCs w:val="18"/>
              </w:rPr>
              <w:t xml:space="preserve">treść </w:t>
            </w:r>
            <w:r w:rsidR="006B390C" w:rsidRPr="007F4565">
              <w:rPr>
                <w:sz w:val="18"/>
                <w:szCs w:val="18"/>
              </w:rPr>
              <w:t>Rocznego Planu Działań PT</w:t>
            </w:r>
            <w:r w:rsidRPr="007F4565">
              <w:rPr>
                <w:sz w:val="18"/>
                <w:szCs w:val="18"/>
              </w:rPr>
              <w:t xml:space="preserve"> </w:t>
            </w:r>
            <w:r w:rsidR="006B390C" w:rsidRPr="007F4565">
              <w:rPr>
                <w:sz w:val="18"/>
                <w:szCs w:val="18"/>
              </w:rPr>
              <w:t>oraz</w:t>
            </w:r>
            <w:r w:rsidRPr="007F4565">
              <w:rPr>
                <w:sz w:val="18"/>
                <w:szCs w:val="18"/>
              </w:rPr>
              <w:t xml:space="preserve"> treść przedmiotowych Wytycznych.</w:t>
            </w:r>
          </w:p>
        </w:tc>
        <w:tc>
          <w:tcPr>
            <w:tcW w:w="12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96D" w:rsidRPr="0050336C" w:rsidRDefault="006B390C" w:rsidP="00560FB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315B4E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C85DE9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5A6736" w:rsidRDefault="005A6736" w:rsidP="00B33B00"/>
    <w:sectPr w:rsidR="005A673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FD2" w:rsidRDefault="00965FD2" w:rsidP="00B33B00">
      <w:pPr>
        <w:spacing w:after="0" w:line="240" w:lineRule="auto"/>
      </w:pPr>
      <w:r>
        <w:separator/>
      </w:r>
    </w:p>
  </w:endnote>
  <w:endnote w:type="continuationSeparator" w:id="0">
    <w:p w:rsidR="00965FD2" w:rsidRDefault="00965FD2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4E496D" w:rsidRDefault="00D642FF">
        <w:pPr>
          <w:pStyle w:val="Stopka"/>
          <w:jc w:val="right"/>
        </w:pPr>
        <w:r>
          <w:fldChar w:fldCharType="begin"/>
        </w:r>
        <w:r w:rsidR="007C0D6A">
          <w:instrText xml:space="preserve"> PAGE   \* MERGEFORMAT </w:instrText>
        </w:r>
        <w:r>
          <w:fldChar w:fldCharType="separate"/>
        </w:r>
        <w:r w:rsidR="00C96B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E496D" w:rsidRDefault="004E49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FD2" w:rsidRDefault="00965FD2" w:rsidP="00B33B00">
      <w:pPr>
        <w:spacing w:after="0" w:line="240" w:lineRule="auto"/>
      </w:pPr>
      <w:r>
        <w:separator/>
      </w:r>
    </w:p>
  </w:footnote>
  <w:footnote w:type="continuationSeparator" w:id="0">
    <w:p w:rsidR="00965FD2" w:rsidRDefault="00965FD2" w:rsidP="00B33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48E9"/>
    <w:rsid w:val="00007A59"/>
    <w:rsid w:val="0001006C"/>
    <w:rsid w:val="00013893"/>
    <w:rsid w:val="000204EB"/>
    <w:rsid w:val="00022D15"/>
    <w:rsid w:val="00023264"/>
    <w:rsid w:val="0003493F"/>
    <w:rsid w:val="00034B87"/>
    <w:rsid w:val="0005000A"/>
    <w:rsid w:val="00055ECF"/>
    <w:rsid w:val="00057EA7"/>
    <w:rsid w:val="00061898"/>
    <w:rsid w:val="00065331"/>
    <w:rsid w:val="00066C3F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B10BE"/>
    <w:rsid w:val="000B4E28"/>
    <w:rsid w:val="000C4BA7"/>
    <w:rsid w:val="000D11A5"/>
    <w:rsid w:val="000D1216"/>
    <w:rsid w:val="000D283E"/>
    <w:rsid w:val="000D29B9"/>
    <w:rsid w:val="000D6367"/>
    <w:rsid w:val="000E2D32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42910"/>
    <w:rsid w:val="00147990"/>
    <w:rsid w:val="001564BD"/>
    <w:rsid w:val="00157402"/>
    <w:rsid w:val="00163172"/>
    <w:rsid w:val="00167474"/>
    <w:rsid w:val="00176412"/>
    <w:rsid w:val="00177C6A"/>
    <w:rsid w:val="00184ADC"/>
    <w:rsid w:val="00192101"/>
    <w:rsid w:val="001A2488"/>
    <w:rsid w:val="001A3572"/>
    <w:rsid w:val="001A3FD3"/>
    <w:rsid w:val="001B207E"/>
    <w:rsid w:val="001B6E4E"/>
    <w:rsid w:val="001C268F"/>
    <w:rsid w:val="001C3151"/>
    <w:rsid w:val="001C7D16"/>
    <w:rsid w:val="001E46F9"/>
    <w:rsid w:val="001E57EA"/>
    <w:rsid w:val="001F4A67"/>
    <w:rsid w:val="00201323"/>
    <w:rsid w:val="00213372"/>
    <w:rsid w:val="0022078B"/>
    <w:rsid w:val="002208E5"/>
    <w:rsid w:val="00230656"/>
    <w:rsid w:val="00235BEE"/>
    <w:rsid w:val="00237123"/>
    <w:rsid w:val="00240DF8"/>
    <w:rsid w:val="00241078"/>
    <w:rsid w:val="00242A4A"/>
    <w:rsid w:val="00250FCF"/>
    <w:rsid w:val="00252B4D"/>
    <w:rsid w:val="00252F59"/>
    <w:rsid w:val="002565EF"/>
    <w:rsid w:val="002576E1"/>
    <w:rsid w:val="00261F21"/>
    <w:rsid w:val="00264BF4"/>
    <w:rsid w:val="00265030"/>
    <w:rsid w:val="00267FB0"/>
    <w:rsid w:val="00275F1A"/>
    <w:rsid w:val="002807C7"/>
    <w:rsid w:val="0028127B"/>
    <w:rsid w:val="00282046"/>
    <w:rsid w:val="00287AA5"/>
    <w:rsid w:val="00294F30"/>
    <w:rsid w:val="002A218B"/>
    <w:rsid w:val="002A2193"/>
    <w:rsid w:val="002A79E7"/>
    <w:rsid w:val="002B1401"/>
    <w:rsid w:val="002B5DE0"/>
    <w:rsid w:val="002C2E8A"/>
    <w:rsid w:val="002C32FA"/>
    <w:rsid w:val="002C377D"/>
    <w:rsid w:val="002D10B4"/>
    <w:rsid w:val="002E5950"/>
    <w:rsid w:val="002F49F2"/>
    <w:rsid w:val="002F4CB8"/>
    <w:rsid w:val="002F63F2"/>
    <w:rsid w:val="002F75CF"/>
    <w:rsid w:val="00301EFC"/>
    <w:rsid w:val="00313CCA"/>
    <w:rsid w:val="00315B4E"/>
    <w:rsid w:val="00315D3A"/>
    <w:rsid w:val="003164EC"/>
    <w:rsid w:val="00321A01"/>
    <w:rsid w:val="0032327C"/>
    <w:rsid w:val="003234EB"/>
    <w:rsid w:val="00327C78"/>
    <w:rsid w:val="00333EA5"/>
    <w:rsid w:val="00334573"/>
    <w:rsid w:val="00335F1C"/>
    <w:rsid w:val="00336396"/>
    <w:rsid w:val="00342CA6"/>
    <w:rsid w:val="003513A5"/>
    <w:rsid w:val="00352EF8"/>
    <w:rsid w:val="0035305B"/>
    <w:rsid w:val="00355680"/>
    <w:rsid w:val="00356A97"/>
    <w:rsid w:val="00357874"/>
    <w:rsid w:val="0036061A"/>
    <w:rsid w:val="00364C67"/>
    <w:rsid w:val="003660FD"/>
    <w:rsid w:val="00366F96"/>
    <w:rsid w:val="003714BE"/>
    <w:rsid w:val="00376BA8"/>
    <w:rsid w:val="00377746"/>
    <w:rsid w:val="00386208"/>
    <w:rsid w:val="0039083E"/>
    <w:rsid w:val="003915A8"/>
    <w:rsid w:val="0039235C"/>
    <w:rsid w:val="003925D5"/>
    <w:rsid w:val="003944EE"/>
    <w:rsid w:val="003945C8"/>
    <w:rsid w:val="003A04C2"/>
    <w:rsid w:val="003A1890"/>
    <w:rsid w:val="003A5B44"/>
    <w:rsid w:val="003B4248"/>
    <w:rsid w:val="003C0272"/>
    <w:rsid w:val="003C347B"/>
    <w:rsid w:val="003C51F5"/>
    <w:rsid w:val="003C5282"/>
    <w:rsid w:val="003D189F"/>
    <w:rsid w:val="003D3F23"/>
    <w:rsid w:val="003D538C"/>
    <w:rsid w:val="003E5C69"/>
    <w:rsid w:val="003E7FB6"/>
    <w:rsid w:val="003F4754"/>
    <w:rsid w:val="003F582B"/>
    <w:rsid w:val="004057C7"/>
    <w:rsid w:val="00422950"/>
    <w:rsid w:val="00422D04"/>
    <w:rsid w:val="00426EDB"/>
    <w:rsid w:val="004304B5"/>
    <w:rsid w:val="004317D9"/>
    <w:rsid w:val="00435A72"/>
    <w:rsid w:val="00436536"/>
    <w:rsid w:val="0044252F"/>
    <w:rsid w:val="00443F2B"/>
    <w:rsid w:val="00445209"/>
    <w:rsid w:val="00446591"/>
    <w:rsid w:val="00447823"/>
    <w:rsid w:val="00447B27"/>
    <w:rsid w:val="0045172F"/>
    <w:rsid w:val="00453676"/>
    <w:rsid w:val="004543CE"/>
    <w:rsid w:val="0045504E"/>
    <w:rsid w:val="00460AC7"/>
    <w:rsid w:val="004647B1"/>
    <w:rsid w:val="0046593A"/>
    <w:rsid w:val="004712A8"/>
    <w:rsid w:val="00472993"/>
    <w:rsid w:val="00477D3D"/>
    <w:rsid w:val="004813C9"/>
    <w:rsid w:val="004A0035"/>
    <w:rsid w:val="004A6774"/>
    <w:rsid w:val="004B0416"/>
    <w:rsid w:val="004B25E4"/>
    <w:rsid w:val="004B6D2D"/>
    <w:rsid w:val="004B75F4"/>
    <w:rsid w:val="004B7BA5"/>
    <w:rsid w:val="004C5388"/>
    <w:rsid w:val="004D2D69"/>
    <w:rsid w:val="004E1C98"/>
    <w:rsid w:val="004E496D"/>
    <w:rsid w:val="004E7452"/>
    <w:rsid w:val="004E75BC"/>
    <w:rsid w:val="004F0EB0"/>
    <w:rsid w:val="004F1C46"/>
    <w:rsid w:val="004F6E57"/>
    <w:rsid w:val="004F71BD"/>
    <w:rsid w:val="0050070C"/>
    <w:rsid w:val="005012D0"/>
    <w:rsid w:val="0050336C"/>
    <w:rsid w:val="00505E09"/>
    <w:rsid w:val="005103AA"/>
    <w:rsid w:val="00515F3F"/>
    <w:rsid w:val="00531F44"/>
    <w:rsid w:val="00540839"/>
    <w:rsid w:val="00544947"/>
    <w:rsid w:val="0054666F"/>
    <w:rsid w:val="00546E5D"/>
    <w:rsid w:val="00555A83"/>
    <w:rsid w:val="005606CA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776C"/>
    <w:rsid w:val="005832F6"/>
    <w:rsid w:val="00594C13"/>
    <w:rsid w:val="00596FFA"/>
    <w:rsid w:val="005A0C5E"/>
    <w:rsid w:val="005A19C4"/>
    <w:rsid w:val="005A225D"/>
    <w:rsid w:val="005A6736"/>
    <w:rsid w:val="005B16EC"/>
    <w:rsid w:val="005B475D"/>
    <w:rsid w:val="005B4E53"/>
    <w:rsid w:val="005B763B"/>
    <w:rsid w:val="005C609E"/>
    <w:rsid w:val="005D19A0"/>
    <w:rsid w:val="005D1D9A"/>
    <w:rsid w:val="005D3DD3"/>
    <w:rsid w:val="005E6B85"/>
    <w:rsid w:val="005E7187"/>
    <w:rsid w:val="005F2CCA"/>
    <w:rsid w:val="005F4588"/>
    <w:rsid w:val="00605C95"/>
    <w:rsid w:val="00623F36"/>
    <w:rsid w:val="006247BE"/>
    <w:rsid w:val="00635BBD"/>
    <w:rsid w:val="0063608A"/>
    <w:rsid w:val="00647525"/>
    <w:rsid w:val="00651148"/>
    <w:rsid w:val="006558F9"/>
    <w:rsid w:val="006567ED"/>
    <w:rsid w:val="00657DDC"/>
    <w:rsid w:val="00662C4E"/>
    <w:rsid w:val="00665382"/>
    <w:rsid w:val="006670C7"/>
    <w:rsid w:val="0067091B"/>
    <w:rsid w:val="00680CAD"/>
    <w:rsid w:val="0068363B"/>
    <w:rsid w:val="00686B9C"/>
    <w:rsid w:val="006938FA"/>
    <w:rsid w:val="006973F2"/>
    <w:rsid w:val="006A1E1A"/>
    <w:rsid w:val="006A2A02"/>
    <w:rsid w:val="006A77D8"/>
    <w:rsid w:val="006B390C"/>
    <w:rsid w:val="006B5949"/>
    <w:rsid w:val="006B63A7"/>
    <w:rsid w:val="006B75FD"/>
    <w:rsid w:val="006C5964"/>
    <w:rsid w:val="006C645C"/>
    <w:rsid w:val="006C70C2"/>
    <w:rsid w:val="006C7668"/>
    <w:rsid w:val="006D0161"/>
    <w:rsid w:val="006D3940"/>
    <w:rsid w:val="006E036A"/>
    <w:rsid w:val="006E23AA"/>
    <w:rsid w:val="006E7B7A"/>
    <w:rsid w:val="006F0249"/>
    <w:rsid w:val="006F1A65"/>
    <w:rsid w:val="006F258F"/>
    <w:rsid w:val="006F3C90"/>
    <w:rsid w:val="00701419"/>
    <w:rsid w:val="00710EC8"/>
    <w:rsid w:val="007138B5"/>
    <w:rsid w:val="007219FE"/>
    <w:rsid w:val="00723F99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7CE8"/>
    <w:rsid w:val="00761D6B"/>
    <w:rsid w:val="00766D81"/>
    <w:rsid w:val="00774624"/>
    <w:rsid w:val="00775A8C"/>
    <w:rsid w:val="007767B3"/>
    <w:rsid w:val="00776924"/>
    <w:rsid w:val="00782830"/>
    <w:rsid w:val="00784FB8"/>
    <w:rsid w:val="0079315D"/>
    <w:rsid w:val="00794031"/>
    <w:rsid w:val="00797721"/>
    <w:rsid w:val="007A062C"/>
    <w:rsid w:val="007A082E"/>
    <w:rsid w:val="007A6E7A"/>
    <w:rsid w:val="007A7C0C"/>
    <w:rsid w:val="007A7EC4"/>
    <w:rsid w:val="007B1E30"/>
    <w:rsid w:val="007B475D"/>
    <w:rsid w:val="007C0380"/>
    <w:rsid w:val="007C0D6A"/>
    <w:rsid w:val="007C491D"/>
    <w:rsid w:val="007E21E8"/>
    <w:rsid w:val="007E3016"/>
    <w:rsid w:val="007F44C0"/>
    <w:rsid w:val="007F4565"/>
    <w:rsid w:val="008052A1"/>
    <w:rsid w:val="008074CC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DD4"/>
    <w:rsid w:val="008342B2"/>
    <w:rsid w:val="00852CF1"/>
    <w:rsid w:val="00853EA7"/>
    <w:rsid w:val="00854946"/>
    <w:rsid w:val="00861D29"/>
    <w:rsid w:val="00863737"/>
    <w:rsid w:val="00864739"/>
    <w:rsid w:val="00874417"/>
    <w:rsid w:val="00877A78"/>
    <w:rsid w:val="008807B1"/>
    <w:rsid w:val="00880C60"/>
    <w:rsid w:val="00881DFF"/>
    <w:rsid w:val="00887F00"/>
    <w:rsid w:val="008963C6"/>
    <w:rsid w:val="00896550"/>
    <w:rsid w:val="008A276A"/>
    <w:rsid w:val="008A2D57"/>
    <w:rsid w:val="008A3CB5"/>
    <w:rsid w:val="008A6AE9"/>
    <w:rsid w:val="008B1252"/>
    <w:rsid w:val="008B2F4B"/>
    <w:rsid w:val="008B444E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7034"/>
    <w:rsid w:val="00917CE2"/>
    <w:rsid w:val="0092153D"/>
    <w:rsid w:val="00934266"/>
    <w:rsid w:val="009353CC"/>
    <w:rsid w:val="00937E80"/>
    <w:rsid w:val="00960DA7"/>
    <w:rsid w:val="00965FD2"/>
    <w:rsid w:val="00972888"/>
    <w:rsid w:val="00982A2E"/>
    <w:rsid w:val="00983C8F"/>
    <w:rsid w:val="009867EA"/>
    <w:rsid w:val="00990E56"/>
    <w:rsid w:val="009935E6"/>
    <w:rsid w:val="009939FA"/>
    <w:rsid w:val="009A24A2"/>
    <w:rsid w:val="009A67B3"/>
    <w:rsid w:val="009C253B"/>
    <w:rsid w:val="009C69C7"/>
    <w:rsid w:val="009D3623"/>
    <w:rsid w:val="009D7CC4"/>
    <w:rsid w:val="009E16DE"/>
    <w:rsid w:val="009E3789"/>
    <w:rsid w:val="009E70B7"/>
    <w:rsid w:val="009E77F5"/>
    <w:rsid w:val="009F1E45"/>
    <w:rsid w:val="00A014CB"/>
    <w:rsid w:val="00A03082"/>
    <w:rsid w:val="00A03CBE"/>
    <w:rsid w:val="00A060A0"/>
    <w:rsid w:val="00A117BB"/>
    <w:rsid w:val="00A11B36"/>
    <w:rsid w:val="00A1531A"/>
    <w:rsid w:val="00A15587"/>
    <w:rsid w:val="00A17899"/>
    <w:rsid w:val="00A17B9B"/>
    <w:rsid w:val="00A17CDC"/>
    <w:rsid w:val="00A34756"/>
    <w:rsid w:val="00A3739C"/>
    <w:rsid w:val="00A433B2"/>
    <w:rsid w:val="00A47B18"/>
    <w:rsid w:val="00A541AC"/>
    <w:rsid w:val="00A6059C"/>
    <w:rsid w:val="00A60EFF"/>
    <w:rsid w:val="00A80737"/>
    <w:rsid w:val="00A87403"/>
    <w:rsid w:val="00A9576A"/>
    <w:rsid w:val="00A97139"/>
    <w:rsid w:val="00AA2AFB"/>
    <w:rsid w:val="00AA3937"/>
    <w:rsid w:val="00AB02BD"/>
    <w:rsid w:val="00AB1255"/>
    <w:rsid w:val="00AB2D15"/>
    <w:rsid w:val="00AB4C52"/>
    <w:rsid w:val="00AC0CFC"/>
    <w:rsid w:val="00AD1964"/>
    <w:rsid w:val="00AD1C45"/>
    <w:rsid w:val="00AD6728"/>
    <w:rsid w:val="00AD7E16"/>
    <w:rsid w:val="00AE5DD4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15242"/>
    <w:rsid w:val="00B27A5D"/>
    <w:rsid w:val="00B305A4"/>
    <w:rsid w:val="00B33B00"/>
    <w:rsid w:val="00B360BD"/>
    <w:rsid w:val="00B43440"/>
    <w:rsid w:val="00B44DD1"/>
    <w:rsid w:val="00B47A03"/>
    <w:rsid w:val="00B5648C"/>
    <w:rsid w:val="00B573F0"/>
    <w:rsid w:val="00B600BD"/>
    <w:rsid w:val="00B702A0"/>
    <w:rsid w:val="00B70B0A"/>
    <w:rsid w:val="00B72BDD"/>
    <w:rsid w:val="00B7370D"/>
    <w:rsid w:val="00B8249E"/>
    <w:rsid w:val="00B90F29"/>
    <w:rsid w:val="00B92EC6"/>
    <w:rsid w:val="00B95525"/>
    <w:rsid w:val="00BB073B"/>
    <w:rsid w:val="00BB2681"/>
    <w:rsid w:val="00BB3B0F"/>
    <w:rsid w:val="00BC1C49"/>
    <w:rsid w:val="00BC4EEA"/>
    <w:rsid w:val="00BD1562"/>
    <w:rsid w:val="00BD438F"/>
    <w:rsid w:val="00BD5028"/>
    <w:rsid w:val="00BD67DD"/>
    <w:rsid w:val="00BE1564"/>
    <w:rsid w:val="00BF2D09"/>
    <w:rsid w:val="00BF527D"/>
    <w:rsid w:val="00C108B8"/>
    <w:rsid w:val="00C14232"/>
    <w:rsid w:val="00C143EC"/>
    <w:rsid w:val="00C16A28"/>
    <w:rsid w:val="00C20E81"/>
    <w:rsid w:val="00C23D01"/>
    <w:rsid w:val="00C3241D"/>
    <w:rsid w:val="00C34270"/>
    <w:rsid w:val="00C34D0A"/>
    <w:rsid w:val="00C410AB"/>
    <w:rsid w:val="00C44FDF"/>
    <w:rsid w:val="00C454BE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85DE9"/>
    <w:rsid w:val="00C901CE"/>
    <w:rsid w:val="00C916FA"/>
    <w:rsid w:val="00C937FF"/>
    <w:rsid w:val="00C95EFD"/>
    <w:rsid w:val="00C96B12"/>
    <w:rsid w:val="00CA05BE"/>
    <w:rsid w:val="00CA2BD5"/>
    <w:rsid w:val="00CA3981"/>
    <w:rsid w:val="00CA4A0A"/>
    <w:rsid w:val="00CA7434"/>
    <w:rsid w:val="00CB0EAE"/>
    <w:rsid w:val="00CB6807"/>
    <w:rsid w:val="00CC0B52"/>
    <w:rsid w:val="00CC164F"/>
    <w:rsid w:val="00CC7552"/>
    <w:rsid w:val="00CC7E10"/>
    <w:rsid w:val="00CD2C99"/>
    <w:rsid w:val="00CE201A"/>
    <w:rsid w:val="00CE2D2D"/>
    <w:rsid w:val="00CE53F5"/>
    <w:rsid w:val="00CE6D28"/>
    <w:rsid w:val="00CF339B"/>
    <w:rsid w:val="00D02C06"/>
    <w:rsid w:val="00D03222"/>
    <w:rsid w:val="00D06C54"/>
    <w:rsid w:val="00D07855"/>
    <w:rsid w:val="00D11475"/>
    <w:rsid w:val="00D17625"/>
    <w:rsid w:val="00D17E8D"/>
    <w:rsid w:val="00D22944"/>
    <w:rsid w:val="00D25C86"/>
    <w:rsid w:val="00D273E6"/>
    <w:rsid w:val="00D36267"/>
    <w:rsid w:val="00D372C9"/>
    <w:rsid w:val="00D405E4"/>
    <w:rsid w:val="00D41287"/>
    <w:rsid w:val="00D447CA"/>
    <w:rsid w:val="00D540FE"/>
    <w:rsid w:val="00D642FF"/>
    <w:rsid w:val="00D65F09"/>
    <w:rsid w:val="00D70D8D"/>
    <w:rsid w:val="00D7575E"/>
    <w:rsid w:val="00D760B3"/>
    <w:rsid w:val="00D80F2E"/>
    <w:rsid w:val="00D814E3"/>
    <w:rsid w:val="00D82841"/>
    <w:rsid w:val="00D9008C"/>
    <w:rsid w:val="00D90822"/>
    <w:rsid w:val="00D96751"/>
    <w:rsid w:val="00D96B88"/>
    <w:rsid w:val="00DA2746"/>
    <w:rsid w:val="00DA5078"/>
    <w:rsid w:val="00DA6BEB"/>
    <w:rsid w:val="00DB2C36"/>
    <w:rsid w:val="00DC14C5"/>
    <w:rsid w:val="00DC5BC5"/>
    <w:rsid w:val="00DD1AE2"/>
    <w:rsid w:val="00DD5EA4"/>
    <w:rsid w:val="00DE1498"/>
    <w:rsid w:val="00DF408C"/>
    <w:rsid w:val="00DF6CE0"/>
    <w:rsid w:val="00E06641"/>
    <w:rsid w:val="00E10C73"/>
    <w:rsid w:val="00E17DC3"/>
    <w:rsid w:val="00E17F15"/>
    <w:rsid w:val="00E23807"/>
    <w:rsid w:val="00E24E06"/>
    <w:rsid w:val="00E2635F"/>
    <w:rsid w:val="00E3291B"/>
    <w:rsid w:val="00E3678A"/>
    <w:rsid w:val="00E40789"/>
    <w:rsid w:val="00E43916"/>
    <w:rsid w:val="00E464C0"/>
    <w:rsid w:val="00E46C18"/>
    <w:rsid w:val="00E50F71"/>
    <w:rsid w:val="00E51161"/>
    <w:rsid w:val="00E60C01"/>
    <w:rsid w:val="00E623B9"/>
    <w:rsid w:val="00E65268"/>
    <w:rsid w:val="00E71748"/>
    <w:rsid w:val="00E743E7"/>
    <w:rsid w:val="00E838C4"/>
    <w:rsid w:val="00E87AB7"/>
    <w:rsid w:val="00E919C0"/>
    <w:rsid w:val="00E9290E"/>
    <w:rsid w:val="00E95248"/>
    <w:rsid w:val="00E9766E"/>
    <w:rsid w:val="00EA352D"/>
    <w:rsid w:val="00EB1304"/>
    <w:rsid w:val="00EB195C"/>
    <w:rsid w:val="00EB2E30"/>
    <w:rsid w:val="00EB5C2E"/>
    <w:rsid w:val="00EB6CB9"/>
    <w:rsid w:val="00EC3DD6"/>
    <w:rsid w:val="00EC59D1"/>
    <w:rsid w:val="00ED39B6"/>
    <w:rsid w:val="00ED6EA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20817"/>
    <w:rsid w:val="00F23C03"/>
    <w:rsid w:val="00F32C28"/>
    <w:rsid w:val="00F36296"/>
    <w:rsid w:val="00F400BF"/>
    <w:rsid w:val="00F41952"/>
    <w:rsid w:val="00F42E9A"/>
    <w:rsid w:val="00F46F6B"/>
    <w:rsid w:val="00F47063"/>
    <w:rsid w:val="00F51061"/>
    <w:rsid w:val="00F6334C"/>
    <w:rsid w:val="00F65C90"/>
    <w:rsid w:val="00F71DDC"/>
    <w:rsid w:val="00F72751"/>
    <w:rsid w:val="00F73F8F"/>
    <w:rsid w:val="00F77365"/>
    <w:rsid w:val="00F77497"/>
    <w:rsid w:val="00F821A8"/>
    <w:rsid w:val="00F9040C"/>
    <w:rsid w:val="00F9295A"/>
    <w:rsid w:val="00F92DA1"/>
    <w:rsid w:val="00F937DF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35A"/>
    <w:rsid w:val="00FE3A9B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43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35AF6-8D01-4FBC-9BAF-44C84989E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2357</Words>
  <Characters>14145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a.s</cp:lastModifiedBy>
  <cp:revision>9</cp:revision>
  <cp:lastPrinted>2015-09-28T08:44:00Z</cp:lastPrinted>
  <dcterms:created xsi:type="dcterms:W3CDTF">2015-10-22T09:31:00Z</dcterms:created>
  <dcterms:modified xsi:type="dcterms:W3CDTF">2015-11-04T10:11:00Z</dcterms:modified>
</cp:coreProperties>
</file>