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872" w:rsidRDefault="003B5872" w:rsidP="00BA31B8">
      <w:pPr>
        <w:pStyle w:val="Nagwek2"/>
        <w:spacing w:line="360" w:lineRule="auto"/>
        <w:ind w:right="-1559" w:firstLine="0"/>
        <w:rPr>
          <w:rFonts w:asciiTheme="minorHAnsi" w:hAnsiTheme="minorHAnsi"/>
          <w:sz w:val="24"/>
          <w:u w:val="single"/>
        </w:rPr>
      </w:pPr>
      <w:bookmarkStart w:id="0" w:name="_GoBack"/>
      <w:bookmarkEnd w:id="0"/>
    </w:p>
    <w:p w:rsidR="003B5872" w:rsidRDefault="003B5872" w:rsidP="003B5872">
      <w:pPr>
        <w:spacing w:after="0"/>
        <w:ind w:left="3540" w:firstLine="708"/>
        <w:rPr>
          <w:b/>
        </w:rPr>
      </w:pPr>
    </w:p>
    <w:p w:rsidR="002513D0" w:rsidRDefault="002513D0" w:rsidP="002513D0">
      <w:pPr>
        <w:pStyle w:val="Nagwek2"/>
        <w:spacing w:line="360" w:lineRule="auto"/>
        <w:ind w:right="-1559" w:firstLine="0"/>
        <w:rPr>
          <w:rFonts w:asciiTheme="minorHAnsi" w:hAnsiTheme="minorHAnsi"/>
          <w:bCs/>
          <w:sz w:val="24"/>
          <w:u w:val="single"/>
        </w:rPr>
      </w:pPr>
      <w:r>
        <w:rPr>
          <w:rFonts w:asciiTheme="minorHAnsi" w:hAnsiTheme="minorHAnsi"/>
          <w:sz w:val="24"/>
          <w:u w:val="single"/>
        </w:rPr>
        <w:t>Załącznik do Kryteriów wyboru projektów</w:t>
      </w:r>
      <w:r>
        <w:rPr>
          <w:rFonts w:asciiTheme="minorHAnsi" w:hAnsiTheme="minorHAnsi"/>
          <w:bCs/>
          <w:sz w:val="24"/>
          <w:u w:val="single"/>
        </w:rPr>
        <w:t>. Definicje wskaźników produktu i rezultatu.</w:t>
      </w:r>
    </w:p>
    <w:p w:rsidR="005B7220" w:rsidRDefault="005B7220" w:rsidP="003D0BAA">
      <w:pPr>
        <w:spacing w:after="60" w:line="240" w:lineRule="auto"/>
        <w:ind w:right="143"/>
        <w:jc w:val="both"/>
      </w:pPr>
      <w:r>
        <w:rPr>
          <w:b/>
        </w:rPr>
        <w:t>Działanie:</w:t>
      </w:r>
      <w:r>
        <w:t xml:space="preserve">  3.3 Efektywność energetyczna w sektorze publicznym i mieszkaniowym</w:t>
      </w:r>
    </w:p>
    <w:p w:rsidR="005B7220" w:rsidRDefault="005B7220" w:rsidP="003D0BAA">
      <w:pPr>
        <w:spacing w:after="60" w:line="240" w:lineRule="auto"/>
        <w:ind w:right="143"/>
        <w:jc w:val="both"/>
      </w:pPr>
      <w:r>
        <w:rPr>
          <w:b/>
        </w:rPr>
        <w:t>Poddziałanie:</w:t>
      </w:r>
      <w:r>
        <w:t xml:space="preserve">  n/d</w:t>
      </w:r>
    </w:p>
    <w:p w:rsidR="005B7220" w:rsidRDefault="005B7220" w:rsidP="003D0BAA">
      <w:pPr>
        <w:spacing w:after="60" w:line="240" w:lineRule="auto"/>
        <w:ind w:right="143"/>
        <w:jc w:val="both"/>
      </w:pPr>
      <w:r>
        <w:rPr>
          <w:b/>
        </w:rPr>
        <w:t>Oś priorytetowa:</w:t>
      </w:r>
      <w:r>
        <w:t xml:space="preserve"> 3 Efektywność energetyczna i gospodarka niskoemisyjna w regionie</w:t>
      </w:r>
    </w:p>
    <w:p w:rsidR="005B7220" w:rsidRDefault="005B7220" w:rsidP="003D0BAA">
      <w:pPr>
        <w:spacing w:after="60" w:line="240" w:lineRule="auto"/>
        <w:ind w:right="143"/>
        <w:jc w:val="both"/>
      </w:pPr>
      <w:r>
        <w:rPr>
          <w:b/>
        </w:rPr>
        <w:t>Priorytet:</w:t>
      </w:r>
      <w:r>
        <w:t xml:space="preserve">  4c Wspieranie efektywności energetycznej, inteligentnego zarządzania energią </w:t>
      </w:r>
      <w:r w:rsidR="00DD7E84">
        <w:br/>
      </w:r>
      <w:r>
        <w:t>i wykorzystania odnawialnych źródeł energii w infrastrukturze publicznej, w tym w budynkach publicznych, i w sektorze mieszkaniowym</w:t>
      </w:r>
    </w:p>
    <w:p w:rsidR="005B7220" w:rsidRDefault="005B7220" w:rsidP="003D0BAA">
      <w:pPr>
        <w:spacing w:after="60" w:line="240" w:lineRule="auto"/>
        <w:ind w:right="143"/>
        <w:jc w:val="both"/>
      </w:pPr>
      <w:r>
        <w:rPr>
          <w:b/>
        </w:rPr>
        <w:t>Cel szczegółowy:</w:t>
      </w:r>
      <w:r>
        <w:t xml:space="preserve">  Zwiększona efektywność energetyczna budynków użyteczności publicznej </w:t>
      </w:r>
      <w:r>
        <w:br/>
        <w:t>i wielorodzinnych budynków mieszkaniowych</w:t>
      </w:r>
    </w:p>
    <w:p w:rsidR="005B7220" w:rsidRDefault="005B7220" w:rsidP="003D0BAA">
      <w:pPr>
        <w:autoSpaceDE w:val="0"/>
        <w:autoSpaceDN w:val="0"/>
        <w:adjustRightInd w:val="0"/>
        <w:spacing w:after="60" w:line="240" w:lineRule="auto"/>
        <w:ind w:right="143"/>
        <w:rPr>
          <w:rFonts w:cs="Calibri"/>
          <w:lang w:eastAsia="pl-PL"/>
        </w:rPr>
      </w:pPr>
      <w:r>
        <w:rPr>
          <w:b/>
        </w:rPr>
        <w:t xml:space="preserve">Schemat: </w:t>
      </w:r>
      <w:r w:rsidRPr="005B7220">
        <w:rPr>
          <w:sz w:val="24"/>
          <w:szCs w:val="24"/>
        </w:rPr>
        <w:t>modernizacja energetyczna budynków publicznych</w:t>
      </w:r>
    </w:p>
    <w:p w:rsidR="00CB02FA"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658"/>
        <w:gridCol w:w="1519"/>
        <w:gridCol w:w="4551"/>
      </w:tblGrid>
      <w:tr w:rsidR="00CB02FA" w:rsidRPr="000E32B0" w:rsidTr="00CB600C">
        <w:trPr>
          <w:trHeight w:val="484"/>
        </w:trPr>
        <w:tc>
          <w:tcPr>
            <w:tcW w:w="0" w:type="auto"/>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519" w:type="dxa"/>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4551" w:type="dxa"/>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rsidTr="000E32B0">
        <w:trPr>
          <w:trHeight w:val="535"/>
        </w:trPr>
        <w:tc>
          <w:tcPr>
            <w:tcW w:w="9214" w:type="dxa"/>
            <w:gridSpan w:val="4"/>
            <w:shd w:val="clear" w:color="auto" w:fill="F2F2F2"/>
            <w:vAlign w:val="center"/>
          </w:tcPr>
          <w:p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683050" w:rsidRPr="000E32B0" w:rsidTr="00CB600C">
        <w:trPr>
          <w:trHeight w:val="575"/>
        </w:trPr>
        <w:tc>
          <w:tcPr>
            <w:tcW w:w="0" w:type="auto"/>
            <w:shd w:val="clear" w:color="auto" w:fill="FFFFFF"/>
            <w:vAlign w:val="center"/>
          </w:tcPr>
          <w:p w:rsidR="00683050" w:rsidRPr="000E32B0" w:rsidRDefault="00CB02FA"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68305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Produkcja energii elektrycznej z nowo wybudowanych instalacji wykorzystujących OZE</w:t>
            </w:r>
          </w:p>
        </w:tc>
        <w:tc>
          <w:tcPr>
            <w:tcW w:w="1519" w:type="dxa"/>
            <w:shd w:val="clear" w:color="auto" w:fill="FFFFFF"/>
            <w:vAlign w:val="center"/>
          </w:tcPr>
          <w:p w:rsidR="00683050" w:rsidRPr="00790ED5" w:rsidRDefault="005D0158" w:rsidP="000E32B0">
            <w:pPr>
              <w:spacing w:after="0" w:line="240" w:lineRule="auto"/>
              <w:jc w:val="center"/>
              <w:rPr>
                <w:rFonts w:asciiTheme="minorHAnsi" w:hAnsiTheme="minorHAnsi" w:cs="Arial"/>
              </w:rPr>
            </w:pPr>
            <w:r w:rsidRPr="00790ED5">
              <w:rPr>
                <w:rFonts w:asciiTheme="minorHAnsi" w:hAnsiTheme="minorHAnsi"/>
              </w:rPr>
              <w:t>MWhe/rok</w:t>
            </w:r>
          </w:p>
        </w:tc>
        <w:tc>
          <w:tcPr>
            <w:tcW w:w="4551" w:type="dxa"/>
            <w:shd w:val="clear" w:color="auto" w:fill="FFFFFF"/>
            <w:vAlign w:val="center"/>
          </w:tcPr>
          <w:p w:rsidR="00683050" w:rsidRPr="00790ED5" w:rsidRDefault="005D0158" w:rsidP="00FD1DCA">
            <w:pPr>
              <w:spacing w:after="0" w:line="240" w:lineRule="auto"/>
              <w:jc w:val="both"/>
              <w:rPr>
                <w:rFonts w:asciiTheme="minorHAnsi" w:hAnsiTheme="minorHAnsi" w:cs="Arial"/>
              </w:rPr>
            </w:pPr>
            <w:r w:rsidRPr="00790ED5">
              <w:rPr>
                <w:rFonts w:asciiTheme="minorHAnsi" w:hAnsiTheme="minorHAnsi"/>
              </w:rPr>
              <w:t>Produkcja energii elektrycznej przez urządzenia wykorzystujące odnawialne źródła energii, powstałe w ramach projektu.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 xml:space="preserve">Produkcja energii elektrycznej </w:t>
            </w:r>
            <w:r w:rsidR="00790ED5" w:rsidRPr="00A139A2">
              <w:rPr>
                <w:rFonts w:asciiTheme="minorHAnsi" w:hAnsiTheme="minorHAnsi"/>
                <w:color w:val="auto"/>
              </w:rPr>
              <w:br/>
            </w:r>
            <w:r w:rsidRPr="00A139A2">
              <w:rPr>
                <w:rFonts w:asciiTheme="minorHAnsi" w:hAnsiTheme="minorHAnsi"/>
                <w:color w:val="auto"/>
              </w:rPr>
              <w:t>z nowych mocy wytwórczych instalacji wykorzystujących OZE</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r w:rsidRPr="00790ED5">
              <w:rPr>
                <w:rFonts w:asciiTheme="minorHAnsi" w:hAnsiTheme="minorHAnsi"/>
              </w:rPr>
              <w:t>MWhe/rok</w:t>
            </w:r>
          </w:p>
        </w:tc>
        <w:tc>
          <w:tcPr>
            <w:tcW w:w="4551" w:type="dxa"/>
            <w:shd w:val="clear" w:color="auto" w:fill="FFFFFF"/>
            <w:vAlign w:val="center"/>
          </w:tcPr>
          <w:p w:rsidR="000E32B0" w:rsidRPr="00790ED5" w:rsidRDefault="005D0158" w:rsidP="00FD1DCA">
            <w:pPr>
              <w:spacing w:after="0" w:line="240" w:lineRule="auto"/>
              <w:jc w:val="both"/>
              <w:rPr>
                <w:rFonts w:asciiTheme="minorHAnsi" w:hAnsiTheme="minorHAnsi" w:cs="Arial"/>
              </w:rPr>
            </w:pPr>
            <w:r w:rsidRPr="00790ED5">
              <w:rPr>
                <w:rFonts w:asciiTheme="minorHAnsi" w:hAnsiTheme="minorHAnsi"/>
              </w:rPr>
              <w:t>Produkcja energii elektrycznej przez urządzenia wykorzystujące odnawialne źródła energii, rozbudowane/wyposażone w ramach projektu.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Produkcja energii cieplnej z nowo wybudowanych instalacji wykorzystujących OZE</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r w:rsidRPr="00790ED5">
              <w:rPr>
                <w:rFonts w:asciiTheme="minorHAnsi" w:hAnsiTheme="minorHAnsi"/>
              </w:rPr>
              <w:t>MWht/rok</w:t>
            </w:r>
          </w:p>
        </w:tc>
        <w:tc>
          <w:tcPr>
            <w:tcW w:w="4551" w:type="dxa"/>
            <w:shd w:val="clear" w:color="auto" w:fill="FFFFFF"/>
            <w:vAlign w:val="center"/>
          </w:tcPr>
          <w:p w:rsidR="000E32B0" w:rsidRPr="00790ED5" w:rsidRDefault="005D0158" w:rsidP="00FD1DCA">
            <w:pPr>
              <w:spacing w:after="0" w:line="240" w:lineRule="auto"/>
              <w:jc w:val="both"/>
              <w:rPr>
                <w:rFonts w:asciiTheme="minorHAnsi" w:hAnsiTheme="minorHAnsi" w:cs="Arial"/>
              </w:rPr>
            </w:pPr>
            <w:r w:rsidRPr="00790ED5">
              <w:rPr>
                <w:rFonts w:asciiTheme="minorHAnsi" w:hAnsiTheme="minorHAnsi"/>
              </w:rPr>
              <w:t>Produkcja energii cieplnej przez urządzenia wykorzystujące odnawialne źródła energii, powstałe w ramach projektu.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Produkcja energii cieplnej z nowych mocy wytwórczych instalacji wykorzystujących OZE</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r w:rsidRPr="00790ED5">
              <w:rPr>
                <w:rFonts w:asciiTheme="minorHAnsi" w:hAnsiTheme="minorHAnsi"/>
              </w:rPr>
              <w:t>MWht/rok</w:t>
            </w:r>
          </w:p>
        </w:tc>
        <w:tc>
          <w:tcPr>
            <w:tcW w:w="4551" w:type="dxa"/>
            <w:shd w:val="clear" w:color="auto" w:fill="FFFFFF"/>
            <w:vAlign w:val="center"/>
          </w:tcPr>
          <w:p w:rsidR="000E32B0" w:rsidRPr="00790ED5" w:rsidRDefault="005D0158" w:rsidP="00FD1DCA">
            <w:pPr>
              <w:spacing w:after="0" w:line="240" w:lineRule="auto"/>
              <w:jc w:val="both"/>
              <w:rPr>
                <w:rFonts w:asciiTheme="minorHAnsi" w:hAnsiTheme="minorHAnsi" w:cs="Arial"/>
              </w:rPr>
            </w:pPr>
            <w:r w:rsidRPr="00790ED5">
              <w:rPr>
                <w:rFonts w:asciiTheme="minorHAnsi" w:hAnsiTheme="minorHAnsi"/>
              </w:rPr>
              <w:t>Produkcja energii cieplnej przez urządzenia wykorzystujące odnawialne źródła energii, rozbudowane/wyposażone w ramach projektu.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Ilość zaoszczędzonej energii elektrycznej</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r w:rsidRPr="00790ED5">
              <w:rPr>
                <w:rFonts w:asciiTheme="minorHAnsi" w:hAnsiTheme="minorHAnsi"/>
              </w:rPr>
              <w:t>MWh/rok</w:t>
            </w:r>
          </w:p>
        </w:tc>
        <w:tc>
          <w:tcPr>
            <w:tcW w:w="4551" w:type="dxa"/>
            <w:shd w:val="clear" w:color="auto" w:fill="FFFFFF"/>
            <w:vAlign w:val="center"/>
          </w:tcPr>
          <w:p w:rsidR="005D0158" w:rsidRPr="00790ED5" w:rsidRDefault="005D0158" w:rsidP="0033458F">
            <w:pPr>
              <w:spacing w:before="120" w:after="120" w:line="240" w:lineRule="auto"/>
              <w:jc w:val="both"/>
              <w:rPr>
                <w:rFonts w:asciiTheme="minorHAnsi" w:hAnsiTheme="minorHAnsi"/>
              </w:rPr>
            </w:pPr>
            <w:r w:rsidRPr="00790ED5">
              <w:rPr>
                <w:rFonts w:asciiTheme="minorHAnsi" w:hAnsiTheme="minorHAnsi"/>
              </w:rPr>
              <w:t xml:space="preserve">Ilość zaoszczędzonej w wyniku realizacji projektu energii elektrycznej w dystrybucji w ciągu pełnego roku po zakończeniu projektu </w:t>
            </w:r>
            <w:r w:rsidR="005252FA">
              <w:rPr>
                <w:rFonts w:asciiTheme="minorHAnsi" w:hAnsiTheme="minorHAnsi"/>
              </w:rPr>
              <w:br/>
            </w:r>
            <w:r w:rsidRPr="00790ED5">
              <w:rPr>
                <w:rFonts w:asciiTheme="minorHAnsi" w:hAnsiTheme="minorHAnsi"/>
              </w:rPr>
              <w:t xml:space="preserve">w stosunku do roku bazowego. </w:t>
            </w:r>
            <w:r w:rsidR="00B50C2D">
              <w:rPr>
                <w:rFonts w:asciiTheme="minorHAnsi" w:hAnsiTheme="minorHAnsi"/>
              </w:rPr>
              <w:t>Wskaźnik odnosi się do energii finalnej.</w:t>
            </w:r>
          </w:p>
          <w:p w:rsidR="000E32B0" w:rsidRPr="00790ED5" w:rsidRDefault="005D0158" w:rsidP="0033458F">
            <w:pPr>
              <w:spacing w:after="120" w:line="240" w:lineRule="auto"/>
              <w:jc w:val="both"/>
              <w:rPr>
                <w:rFonts w:asciiTheme="minorHAnsi" w:hAnsiTheme="minorHAnsi" w:cs="Arial"/>
              </w:rPr>
            </w:pPr>
            <w:r w:rsidRPr="00790ED5">
              <w:rPr>
                <w:rFonts w:asciiTheme="minorHAnsi" w:hAnsiTheme="minorHAnsi"/>
              </w:rPr>
              <w:t xml:space="preserve">W przypadku modernizacji energetycznej budynków: różnica między rocznym zużyciem energii elektrycznej w roku bazowym </w:t>
            </w:r>
            <w:r w:rsidR="00FB03DE">
              <w:rPr>
                <w:rFonts w:asciiTheme="minorHAnsi" w:hAnsiTheme="minorHAnsi"/>
              </w:rPr>
              <w:br/>
            </w:r>
            <w:r w:rsidRPr="00790ED5">
              <w:rPr>
                <w:rFonts w:asciiTheme="minorHAnsi" w:hAnsiTheme="minorHAnsi"/>
              </w:rPr>
              <w:t>w stosunku do rocznego zużycia energii elektrycznej po zakończeniu projektu.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6</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Ilość zaoszczędzonej energii cieplnej</w:t>
            </w:r>
          </w:p>
        </w:tc>
        <w:tc>
          <w:tcPr>
            <w:tcW w:w="1519" w:type="dxa"/>
            <w:shd w:val="clear" w:color="auto" w:fill="FFFFFF"/>
            <w:vAlign w:val="center"/>
          </w:tcPr>
          <w:p w:rsidR="000E32B0" w:rsidRPr="00790ED5" w:rsidRDefault="005D0158" w:rsidP="00F851BD">
            <w:pPr>
              <w:spacing w:after="0" w:line="240" w:lineRule="auto"/>
              <w:jc w:val="center"/>
              <w:rPr>
                <w:rFonts w:asciiTheme="minorHAnsi" w:hAnsiTheme="minorHAnsi" w:cs="Arial"/>
              </w:rPr>
            </w:pPr>
            <w:r w:rsidRPr="00790ED5">
              <w:rPr>
                <w:rFonts w:asciiTheme="minorHAnsi" w:hAnsiTheme="minorHAnsi"/>
              </w:rPr>
              <w:t>GJ/rok</w:t>
            </w:r>
          </w:p>
        </w:tc>
        <w:tc>
          <w:tcPr>
            <w:tcW w:w="4551" w:type="dxa"/>
            <w:shd w:val="clear" w:color="auto" w:fill="FFFFFF"/>
            <w:vAlign w:val="center"/>
          </w:tcPr>
          <w:p w:rsidR="005D0158" w:rsidRPr="00790ED5" w:rsidRDefault="005D0158" w:rsidP="0033458F">
            <w:pPr>
              <w:spacing w:before="120" w:after="120" w:line="240" w:lineRule="auto"/>
              <w:jc w:val="both"/>
              <w:rPr>
                <w:rFonts w:asciiTheme="minorHAnsi" w:hAnsiTheme="minorHAnsi"/>
              </w:rPr>
            </w:pPr>
            <w:r w:rsidRPr="00790ED5">
              <w:rPr>
                <w:rFonts w:asciiTheme="minorHAnsi" w:hAnsiTheme="minorHAnsi"/>
              </w:rPr>
              <w:t>Ilość zaoszczędzonej w wyniku realizacji projektu energii cieplnej w dystrybucji w ciągu pełnego roku po zakończeniu projek</w:t>
            </w:r>
            <w:r w:rsidR="00780D47">
              <w:rPr>
                <w:rFonts w:asciiTheme="minorHAnsi" w:hAnsiTheme="minorHAnsi"/>
              </w:rPr>
              <w:t xml:space="preserve">tu w </w:t>
            </w:r>
            <w:r w:rsidR="00780D47">
              <w:rPr>
                <w:rFonts w:asciiTheme="minorHAnsi" w:hAnsiTheme="minorHAnsi"/>
              </w:rPr>
              <w:lastRenderedPageBreak/>
              <w:t>stosunku do roku bazowego.</w:t>
            </w:r>
            <w:r w:rsidR="00B50C2D">
              <w:rPr>
                <w:rFonts w:asciiTheme="minorHAnsi" w:hAnsiTheme="minorHAnsi"/>
              </w:rPr>
              <w:t xml:space="preserve"> Wskaźnik odnosi się do energii finalnej.</w:t>
            </w:r>
          </w:p>
          <w:p w:rsidR="005D0158" w:rsidRPr="00790ED5" w:rsidRDefault="005D0158" w:rsidP="00780D47">
            <w:pPr>
              <w:spacing w:after="120" w:line="240" w:lineRule="auto"/>
              <w:jc w:val="both"/>
              <w:rPr>
                <w:rFonts w:asciiTheme="minorHAnsi" w:hAnsiTheme="minorHAnsi"/>
              </w:rPr>
            </w:pPr>
            <w:r w:rsidRPr="00790ED5">
              <w:rPr>
                <w:rFonts w:asciiTheme="minorHAnsi" w:hAnsiTheme="minorHAnsi"/>
              </w:rPr>
              <w:t>W przypadku modernizacji energetycznej budynków: różnica między rocznym zużyciem energii cieplnej w roku bazowym w stosunku do rocznego zużycia energii ci</w:t>
            </w:r>
            <w:r w:rsidR="00B50C2D">
              <w:rPr>
                <w:rFonts w:asciiTheme="minorHAnsi" w:hAnsiTheme="minorHAnsi"/>
              </w:rPr>
              <w:t>eplnej po zakończeniu projektu.</w:t>
            </w:r>
          </w:p>
          <w:p w:rsidR="000E32B0" w:rsidRPr="00790ED5" w:rsidRDefault="005D0158" w:rsidP="0033458F">
            <w:pPr>
              <w:spacing w:after="120" w:line="240" w:lineRule="auto"/>
              <w:jc w:val="both"/>
              <w:rPr>
                <w:rFonts w:asciiTheme="minorHAnsi" w:eastAsia="Times New Roman" w:hAnsiTheme="minorHAnsi"/>
                <w:lang w:eastAsia="pl-PL"/>
              </w:rPr>
            </w:pPr>
            <w:r w:rsidRPr="00790ED5">
              <w:rPr>
                <w:rFonts w:asciiTheme="minorHAnsi" w:hAnsiTheme="minorHAnsi"/>
                <w:u w:val="single"/>
              </w:rPr>
              <w:t>Energia cieplna</w:t>
            </w:r>
            <w:r w:rsidRPr="00790ED5">
              <w:rPr>
                <w:rFonts w:asciiTheme="minorHAnsi" w:hAnsiTheme="minorHAnsi"/>
              </w:rPr>
              <w:t xml:space="preserve"> – energia w wodzie gorącej, parze lub w innych nośnikach.</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lastRenderedPageBreak/>
              <w:t>7</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Zmniejszenie rocznego zużycia energii pierwotnej w budynkach publicznych (CI32)</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r w:rsidRPr="00790ED5">
              <w:rPr>
                <w:rFonts w:asciiTheme="minorHAnsi" w:hAnsiTheme="minorHAnsi"/>
              </w:rPr>
              <w:t>kWh/rok</w:t>
            </w:r>
          </w:p>
        </w:tc>
        <w:tc>
          <w:tcPr>
            <w:tcW w:w="4551" w:type="dxa"/>
            <w:shd w:val="clear" w:color="auto" w:fill="FFFFFF"/>
            <w:vAlign w:val="center"/>
          </w:tcPr>
          <w:p w:rsidR="005D0158" w:rsidRPr="00790ED5" w:rsidRDefault="005D0158" w:rsidP="0033458F">
            <w:pPr>
              <w:spacing w:before="120" w:after="120" w:line="240" w:lineRule="auto"/>
              <w:jc w:val="both"/>
              <w:rPr>
                <w:rFonts w:asciiTheme="minorHAnsi" w:hAnsiTheme="minorHAnsi"/>
              </w:rPr>
            </w:pPr>
            <w:r w:rsidRPr="00790ED5">
              <w:rPr>
                <w:rFonts w:asciiTheme="minorHAnsi" w:hAnsiTheme="minorHAnsi"/>
              </w:rPr>
              <w:t xml:space="preserve">Ilość zaoszczędzonej w wyniku realizacji projektu energii cieplnej i elektrycznej w dystrybucji </w:t>
            </w:r>
            <w:r w:rsidR="005252FA">
              <w:rPr>
                <w:rFonts w:asciiTheme="minorHAnsi" w:hAnsiTheme="minorHAnsi"/>
              </w:rPr>
              <w:br/>
            </w:r>
            <w:r w:rsidRPr="00790ED5">
              <w:rPr>
                <w:rFonts w:asciiTheme="minorHAnsi" w:hAnsiTheme="minorHAnsi"/>
              </w:rPr>
              <w:t xml:space="preserve">w ciągu pełnego roku po zakończeniu projektu </w:t>
            </w:r>
            <w:r w:rsidR="005252FA">
              <w:rPr>
                <w:rFonts w:asciiTheme="minorHAnsi" w:hAnsiTheme="minorHAnsi"/>
              </w:rPr>
              <w:br/>
            </w:r>
            <w:r w:rsidRPr="00790ED5">
              <w:rPr>
                <w:rFonts w:asciiTheme="minorHAnsi" w:hAnsiTheme="minorHAnsi"/>
              </w:rPr>
              <w:t>w stosunku do roku bazowego.</w:t>
            </w:r>
          </w:p>
          <w:p w:rsidR="000E32B0" w:rsidRPr="00790ED5" w:rsidRDefault="005D0158" w:rsidP="0033458F">
            <w:pPr>
              <w:spacing w:after="120" w:line="240" w:lineRule="auto"/>
              <w:jc w:val="both"/>
              <w:rPr>
                <w:rFonts w:asciiTheme="minorHAnsi" w:hAnsiTheme="minorHAnsi" w:cs="Arial"/>
              </w:rPr>
            </w:pPr>
            <w:r w:rsidRPr="00790ED5">
              <w:rPr>
                <w:rFonts w:asciiTheme="minorHAnsi" w:hAnsiTheme="minorHAnsi"/>
              </w:rPr>
              <w:t>Wskaźnik może być oszacowany na podstawie wartości docelowych wskaźników „Ilość zaoszczędzonej energii cieplnej” oraz „Ilość zaoszczędzonej energii elektrycznej” (wyłącznie w części dotyczącej budynków użyteczności publicznej). Aby z oszacowanej wartości oszacowanego poziomu oszczędności energii końcowej otrzymać oszczędność energii pierwotnej należy wykorzystać współczynnik konwersji 1,25 (tj. do wytworzenie 1 jednostki energii końcowej potrzeba 1,25 energii pierwotnej).</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8</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Szacowany roczny spadek emisji gazów cieplarnianych (CI34)</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r w:rsidRPr="00790ED5">
              <w:rPr>
                <w:rFonts w:asciiTheme="minorHAnsi" w:hAnsiTheme="minorHAnsi"/>
              </w:rPr>
              <w:t>tony równoważnika CO</w:t>
            </w:r>
            <w:r w:rsidRPr="00FC69CE">
              <w:rPr>
                <w:rFonts w:asciiTheme="minorHAnsi" w:hAnsiTheme="minorHAnsi"/>
                <w:vertAlign w:val="subscript"/>
              </w:rPr>
              <w:t>2</w:t>
            </w:r>
          </w:p>
        </w:tc>
        <w:tc>
          <w:tcPr>
            <w:tcW w:w="4551" w:type="dxa"/>
            <w:shd w:val="clear" w:color="auto" w:fill="FFFFFF"/>
            <w:vAlign w:val="center"/>
          </w:tcPr>
          <w:p w:rsidR="005D0158" w:rsidRPr="00790ED5" w:rsidRDefault="005D0158" w:rsidP="0033458F">
            <w:pPr>
              <w:spacing w:before="120" w:after="120" w:line="240" w:lineRule="auto"/>
              <w:jc w:val="both"/>
              <w:rPr>
                <w:rFonts w:asciiTheme="minorHAnsi" w:hAnsiTheme="minorHAnsi"/>
              </w:rPr>
            </w:pPr>
            <w:r w:rsidRPr="00790ED5">
              <w:rPr>
                <w:rFonts w:asciiTheme="minorHAnsi" w:hAnsiTheme="minorHAnsi"/>
              </w:rPr>
              <w:t xml:space="preserve">Wskaźnik </w:t>
            </w:r>
            <w:r w:rsidR="00303D69">
              <w:rPr>
                <w:rFonts w:asciiTheme="minorHAnsi" w:hAnsiTheme="minorHAnsi"/>
              </w:rPr>
              <w:t>dotyczy redukcji CO</w:t>
            </w:r>
            <w:r w:rsidR="00303D69">
              <w:rPr>
                <w:rFonts w:asciiTheme="minorHAnsi" w:hAnsiTheme="minorHAnsi"/>
                <w:vertAlign w:val="subscript"/>
              </w:rPr>
              <w:t xml:space="preserve">2 </w:t>
            </w:r>
            <w:r w:rsidR="00303D69">
              <w:rPr>
                <w:rFonts w:asciiTheme="minorHAnsi" w:hAnsiTheme="minorHAnsi"/>
              </w:rPr>
              <w:t xml:space="preserve">i </w:t>
            </w:r>
            <w:r w:rsidRPr="00790ED5">
              <w:rPr>
                <w:rFonts w:asciiTheme="minorHAnsi" w:hAnsiTheme="minorHAnsi"/>
              </w:rPr>
              <w:t xml:space="preserve">mierzy łączny szacunkowy roczny spadek na koniec okresu, </w:t>
            </w:r>
            <w:r w:rsidR="00303D69">
              <w:rPr>
                <w:rFonts w:asciiTheme="minorHAnsi" w:hAnsiTheme="minorHAnsi"/>
              </w:rPr>
              <w:br/>
            </w:r>
            <w:r w:rsidRPr="00790ED5">
              <w:rPr>
                <w:rFonts w:asciiTheme="minorHAnsi" w:hAnsiTheme="minorHAnsi"/>
              </w:rPr>
              <w:t>a nie całkowity spadek w całym okresie.</w:t>
            </w:r>
          </w:p>
          <w:p w:rsidR="005D0158" w:rsidRPr="00790ED5" w:rsidRDefault="005D0158" w:rsidP="00780D47">
            <w:pPr>
              <w:spacing w:after="120" w:line="240" w:lineRule="auto"/>
              <w:jc w:val="both"/>
              <w:rPr>
                <w:rFonts w:asciiTheme="minorHAnsi" w:hAnsiTheme="minorHAnsi"/>
              </w:rPr>
            </w:pPr>
            <w:r w:rsidRPr="00790ED5">
              <w:rPr>
                <w:rFonts w:asciiTheme="minorHAnsi" w:hAnsiTheme="minorHAnsi"/>
              </w:rPr>
              <w:t>W przypadku działań d</w:t>
            </w:r>
            <w:r w:rsidR="00A55354">
              <w:rPr>
                <w:rFonts w:asciiTheme="minorHAnsi" w:hAnsiTheme="minorHAnsi"/>
              </w:rPr>
              <w:t>otyczących oszczędności energii</w:t>
            </w:r>
            <w:r w:rsidRPr="00790ED5">
              <w:rPr>
                <w:rFonts w:asciiTheme="minorHAnsi" w:hAnsiTheme="minorHAnsi"/>
              </w:rPr>
              <w:t xml:space="preserve"> szacunki opierają się na ilości zaoszczędzonej energii </w:t>
            </w:r>
            <w:r w:rsidR="00780D47">
              <w:rPr>
                <w:rFonts w:asciiTheme="minorHAnsi" w:hAnsiTheme="minorHAnsi"/>
              </w:rPr>
              <w:t xml:space="preserve"> </w:t>
            </w:r>
            <w:r w:rsidRPr="00790ED5">
              <w:rPr>
                <w:rFonts w:asciiTheme="minorHAnsi" w:hAnsiTheme="minorHAnsi"/>
              </w:rPr>
              <w:t>w danym roku poprzez wsparcie działań (albo jeden rok po zakończeniu pr</w:t>
            </w:r>
            <w:r w:rsidR="001434E1">
              <w:rPr>
                <w:rFonts w:asciiTheme="minorHAnsi" w:hAnsiTheme="minorHAnsi"/>
              </w:rPr>
              <w:t>ojektu lub w roku kalendarzowym</w:t>
            </w:r>
            <w:r w:rsidRPr="00790ED5">
              <w:rPr>
                <w:rFonts w:asciiTheme="minorHAnsi" w:hAnsiTheme="minorHAnsi"/>
              </w:rPr>
              <w:t xml:space="preserve"> po zakończeniu projektu). Zaoszczędzona energia ma zastąpić produkcję energii ze źródeł nieodnawialnych. Wpływ gazów cieplarnianych powstałych ze źródeł energii nieodnawialnej jest szacowany poprzez koszt emisji gazów cieplarnianych przypadających na jednostkę produkcji energii ze źródeł nieodnawialnych.</w:t>
            </w:r>
          </w:p>
          <w:p w:rsidR="005D0158" w:rsidRPr="00790ED5" w:rsidRDefault="005D0158" w:rsidP="00FD1DCA">
            <w:pPr>
              <w:spacing w:after="0" w:line="240" w:lineRule="auto"/>
              <w:jc w:val="both"/>
              <w:rPr>
                <w:rFonts w:asciiTheme="minorHAnsi" w:hAnsiTheme="minorHAnsi"/>
              </w:rPr>
            </w:pPr>
            <w:r w:rsidRPr="00790ED5">
              <w:rPr>
                <w:rFonts w:asciiTheme="minorHAnsi" w:hAnsiTheme="minorHAnsi"/>
              </w:rPr>
              <w:t xml:space="preserve">Wartość wskaźnika należy oszacować wynikowo, w odniesieniu do mierników opisujących ilość zaoszczędzonej energii. Wykorzystać należy wartości docelowe wskaźników: </w:t>
            </w:r>
          </w:p>
          <w:p w:rsidR="00242D5C" w:rsidRPr="00790ED5" w:rsidRDefault="005D0158" w:rsidP="00FD1DCA">
            <w:pPr>
              <w:pStyle w:val="Akapitzlist"/>
              <w:numPr>
                <w:ilvl w:val="0"/>
                <w:numId w:val="1"/>
              </w:numPr>
              <w:spacing w:after="0" w:line="240" w:lineRule="auto"/>
              <w:ind w:left="384"/>
              <w:jc w:val="both"/>
              <w:rPr>
                <w:rFonts w:asciiTheme="minorHAnsi" w:hAnsiTheme="minorHAnsi"/>
              </w:rPr>
            </w:pPr>
            <w:r w:rsidRPr="00790ED5">
              <w:rPr>
                <w:rFonts w:asciiTheme="minorHAnsi" w:hAnsiTheme="minorHAnsi"/>
              </w:rPr>
              <w:t xml:space="preserve">Ilość zaoszczędzonej energii cieplnej; </w:t>
            </w:r>
          </w:p>
          <w:p w:rsidR="00E61954" w:rsidRPr="00790ED5" w:rsidRDefault="005D0158" w:rsidP="00857815">
            <w:pPr>
              <w:pStyle w:val="Akapitzlist"/>
              <w:numPr>
                <w:ilvl w:val="0"/>
                <w:numId w:val="1"/>
              </w:numPr>
              <w:spacing w:after="0" w:line="240" w:lineRule="auto"/>
              <w:ind w:left="380" w:hanging="357"/>
              <w:jc w:val="both"/>
              <w:rPr>
                <w:rFonts w:asciiTheme="minorHAnsi" w:hAnsiTheme="minorHAnsi"/>
              </w:rPr>
            </w:pPr>
            <w:r w:rsidRPr="00790ED5">
              <w:rPr>
                <w:rFonts w:asciiTheme="minorHAnsi" w:hAnsiTheme="minorHAnsi"/>
              </w:rPr>
              <w:t>Ilość zaoszczędzonej energii elektrycznej</w:t>
            </w:r>
            <w:r w:rsidR="00E61954" w:rsidRPr="00790ED5">
              <w:rPr>
                <w:rFonts w:asciiTheme="minorHAnsi" w:hAnsiTheme="minorHAnsi"/>
              </w:rPr>
              <w:t>.</w:t>
            </w:r>
          </w:p>
          <w:p w:rsidR="005D0158" w:rsidRPr="00790ED5" w:rsidRDefault="005D0158" w:rsidP="00E61954">
            <w:pPr>
              <w:spacing w:after="60" w:line="240" w:lineRule="auto"/>
              <w:ind w:left="23"/>
              <w:jc w:val="both"/>
              <w:rPr>
                <w:rFonts w:asciiTheme="minorHAnsi" w:hAnsiTheme="minorHAnsi"/>
              </w:rPr>
            </w:pPr>
            <w:r w:rsidRPr="00790ED5">
              <w:rPr>
                <w:rFonts w:asciiTheme="minorHAnsi" w:hAnsiTheme="minorHAnsi"/>
              </w:rPr>
              <w:t xml:space="preserve">Następnie </w:t>
            </w:r>
            <w:r w:rsidRPr="00790ED5">
              <w:rPr>
                <w:rFonts w:asciiTheme="minorHAnsi" w:hAnsiTheme="minorHAnsi"/>
                <w:u w:val="single"/>
              </w:rPr>
              <w:t>wartości docelowe obydwu wskaźników należy przemnożyć przez odpowiednie współczynniki emisyjności</w:t>
            </w:r>
            <w:r w:rsidRPr="00790ED5">
              <w:rPr>
                <w:rFonts w:asciiTheme="minorHAnsi" w:hAnsiTheme="minorHAnsi"/>
                <w:vertAlign w:val="superscript"/>
              </w:rPr>
              <w:t>*</w:t>
            </w:r>
            <w:r w:rsidRPr="00790ED5">
              <w:rPr>
                <w:rFonts w:asciiTheme="minorHAnsi" w:hAnsiTheme="minorHAnsi"/>
              </w:rPr>
              <w:t>:</w:t>
            </w:r>
          </w:p>
          <w:p w:rsidR="00242D5C" w:rsidRPr="00790ED5" w:rsidRDefault="005D0158" w:rsidP="00123EA9">
            <w:pPr>
              <w:pStyle w:val="Akapitzlist"/>
              <w:numPr>
                <w:ilvl w:val="0"/>
                <w:numId w:val="2"/>
              </w:numPr>
              <w:spacing w:after="0" w:line="240" w:lineRule="auto"/>
              <w:ind w:left="618"/>
              <w:jc w:val="both"/>
              <w:rPr>
                <w:rFonts w:asciiTheme="minorHAnsi" w:hAnsiTheme="minorHAnsi"/>
              </w:rPr>
            </w:pPr>
            <w:r w:rsidRPr="00790ED5">
              <w:rPr>
                <w:rFonts w:asciiTheme="minorHAnsi" w:hAnsiTheme="minorHAnsi"/>
              </w:rPr>
              <w:lastRenderedPageBreak/>
              <w:t>0,812 Mg CO</w:t>
            </w:r>
            <w:r w:rsidRPr="00780D47">
              <w:rPr>
                <w:rFonts w:asciiTheme="minorHAnsi" w:hAnsiTheme="minorHAnsi"/>
                <w:vertAlign w:val="subscript"/>
              </w:rPr>
              <w:t>2</w:t>
            </w:r>
            <w:r w:rsidRPr="00790ED5">
              <w:rPr>
                <w:rFonts w:asciiTheme="minorHAnsi" w:hAnsiTheme="minorHAnsi"/>
              </w:rPr>
              <w:t>/MWh w pr</w:t>
            </w:r>
            <w:r w:rsidR="00242D5C" w:rsidRPr="00790ED5">
              <w:rPr>
                <w:rFonts w:asciiTheme="minorHAnsi" w:hAnsiTheme="minorHAnsi"/>
              </w:rPr>
              <w:t>zypadku energii elektrycznej;</w:t>
            </w:r>
          </w:p>
          <w:p w:rsidR="005D0158" w:rsidRPr="00FB03DE" w:rsidRDefault="005D0158" w:rsidP="00123EA9">
            <w:pPr>
              <w:pStyle w:val="Akapitzlist"/>
              <w:numPr>
                <w:ilvl w:val="0"/>
                <w:numId w:val="2"/>
              </w:numPr>
              <w:spacing w:after="120" w:line="240" w:lineRule="auto"/>
              <w:ind w:left="618" w:hanging="357"/>
              <w:jc w:val="both"/>
              <w:rPr>
                <w:rFonts w:asciiTheme="minorHAnsi" w:hAnsiTheme="minorHAnsi"/>
              </w:rPr>
            </w:pPr>
            <w:r w:rsidRPr="00790ED5">
              <w:rPr>
                <w:rFonts w:asciiTheme="minorHAnsi" w:hAnsiTheme="minorHAnsi"/>
              </w:rPr>
              <w:t>0,3 Mg CO</w:t>
            </w:r>
            <w:r w:rsidRPr="00780D47">
              <w:rPr>
                <w:rFonts w:asciiTheme="minorHAnsi" w:hAnsiTheme="minorHAnsi"/>
                <w:vertAlign w:val="subscript"/>
              </w:rPr>
              <w:t>2</w:t>
            </w:r>
            <w:r w:rsidRPr="00790ED5">
              <w:rPr>
                <w:rFonts w:asciiTheme="minorHAnsi" w:hAnsiTheme="minorHAnsi"/>
              </w:rPr>
              <w:t>/MWh w przypadku energii cieplnej.</w:t>
            </w:r>
          </w:p>
          <w:p w:rsidR="005D0158" w:rsidRPr="00790ED5" w:rsidRDefault="005D0158" w:rsidP="0033458F">
            <w:pPr>
              <w:spacing w:after="120" w:line="240" w:lineRule="auto"/>
              <w:jc w:val="both"/>
              <w:rPr>
                <w:rFonts w:asciiTheme="minorHAnsi" w:hAnsiTheme="minorHAnsi" w:cs="Arial"/>
              </w:rPr>
            </w:pPr>
            <w:r w:rsidRPr="00790ED5">
              <w:rPr>
                <w:rFonts w:asciiTheme="minorHAnsi" w:hAnsiTheme="minorHAnsi"/>
                <w:vertAlign w:val="superscript"/>
              </w:rPr>
              <w:t>*</w:t>
            </w:r>
            <w:r w:rsidRPr="00563654">
              <w:rPr>
                <w:rFonts w:asciiTheme="minorHAnsi" w:hAnsiTheme="minorHAnsi"/>
                <w:sz w:val="18"/>
                <w:szCs w:val="18"/>
              </w:rPr>
              <w:t>Współczynniki przyjęto zgodnie z wytycznymi Krajowego Ośrodka Bilansowania i Zarządzania Emisjami (energia elektryczna – współczynnik referencyjny dla KSE, energia cieplna – współczynnik dla ciepła sieciowego).</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lastRenderedPageBreak/>
              <w:t>9</w:t>
            </w:r>
          </w:p>
        </w:tc>
        <w:tc>
          <w:tcPr>
            <w:tcW w:w="0" w:type="auto"/>
            <w:shd w:val="clear" w:color="auto" w:fill="FFFFFF"/>
            <w:vAlign w:val="center"/>
          </w:tcPr>
          <w:p w:rsidR="000E32B0" w:rsidRPr="00A139A2" w:rsidRDefault="00790ED5"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Dodatkowa zdolność wytwarzania energii elektrycznej ze źródeł odnawialnych</w:t>
            </w:r>
          </w:p>
        </w:tc>
        <w:tc>
          <w:tcPr>
            <w:tcW w:w="1519" w:type="dxa"/>
            <w:shd w:val="clear" w:color="auto" w:fill="FFFFFF"/>
            <w:vAlign w:val="center"/>
          </w:tcPr>
          <w:p w:rsidR="000E32B0" w:rsidRPr="00790ED5" w:rsidRDefault="00790ED5" w:rsidP="000E32B0">
            <w:pPr>
              <w:spacing w:after="0" w:line="240" w:lineRule="auto"/>
              <w:jc w:val="center"/>
              <w:rPr>
                <w:rFonts w:asciiTheme="minorHAnsi" w:hAnsiTheme="minorHAnsi" w:cs="Arial"/>
              </w:rPr>
            </w:pPr>
            <w:r w:rsidRPr="00790ED5">
              <w:rPr>
                <w:rFonts w:asciiTheme="minorHAnsi" w:hAnsiTheme="minorHAnsi"/>
              </w:rPr>
              <w:t>MWe</w:t>
            </w:r>
          </w:p>
        </w:tc>
        <w:tc>
          <w:tcPr>
            <w:tcW w:w="4551" w:type="dxa"/>
            <w:shd w:val="clear" w:color="auto" w:fill="FFFFFF"/>
            <w:vAlign w:val="center"/>
          </w:tcPr>
          <w:p w:rsidR="000E32B0" w:rsidRDefault="00790ED5" w:rsidP="0033458F">
            <w:pPr>
              <w:spacing w:before="120" w:after="120" w:line="240" w:lineRule="auto"/>
              <w:jc w:val="both"/>
              <w:rPr>
                <w:rFonts w:asciiTheme="minorHAnsi" w:hAnsiTheme="minorHAnsi"/>
              </w:rPr>
            </w:pPr>
            <w:r w:rsidRPr="00790ED5">
              <w:rPr>
                <w:rFonts w:asciiTheme="minorHAnsi" w:hAnsiTheme="minorHAnsi"/>
              </w:rPr>
              <w:t>Zwiększenie zdolności produkcyjnych energii elektrycznej przez urządzenia wykorzystujące odnawialne źródła energii, zbudowane/przebudowane w ramach projektu.</w:t>
            </w:r>
          </w:p>
          <w:p w:rsidR="00FF4AB1" w:rsidRPr="00790ED5" w:rsidRDefault="00FF4AB1" w:rsidP="0033458F">
            <w:pPr>
              <w:spacing w:before="120" w:after="120" w:line="240" w:lineRule="auto"/>
              <w:jc w:val="both"/>
              <w:rPr>
                <w:rFonts w:asciiTheme="minorHAnsi" w:hAnsiTheme="minorHAnsi" w:cs="Arial"/>
              </w:rPr>
            </w:pPr>
            <w:r>
              <w:rPr>
                <w:rFonts w:asciiTheme="minorHAnsi" w:hAnsiTheme="minorHAnsi"/>
              </w:rPr>
              <w:t xml:space="preserve">Wskaźnik dotyczy mocy zainstalowanej </w:t>
            </w:r>
            <w:r>
              <w:rPr>
                <w:rFonts w:asciiTheme="minorHAnsi" w:hAnsiTheme="minorHAnsi"/>
              </w:rPr>
              <w:br/>
              <w:t>w projekcie – wartości znamionowej mocy.</w:t>
            </w:r>
          </w:p>
        </w:tc>
      </w:tr>
      <w:tr w:rsidR="00BA58D4" w:rsidRPr="000E32B0" w:rsidTr="00CB600C">
        <w:trPr>
          <w:trHeight w:val="575"/>
        </w:trPr>
        <w:tc>
          <w:tcPr>
            <w:tcW w:w="0" w:type="auto"/>
            <w:shd w:val="clear" w:color="auto" w:fill="FFFFFF"/>
            <w:vAlign w:val="center"/>
          </w:tcPr>
          <w:p w:rsidR="00BA58D4" w:rsidRDefault="00BA58D4" w:rsidP="00FD1DCA">
            <w:pPr>
              <w:spacing w:after="0" w:line="240" w:lineRule="auto"/>
              <w:jc w:val="center"/>
              <w:rPr>
                <w:rFonts w:asciiTheme="minorHAnsi" w:hAnsiTheme="minorHAnsi"/>
              </w:rPr>
            </w:pPr>
            <w:r>
              <w:rPr>
                <w:rFonts w:asciiTheme="minorHAnsi" w:hAnsiTheme="minorHAnsi"/>
              </w:rPr>
              <w:t>10</w:t>
            </w:r>
          </w:p>
        </w:tc>
        <w:tc>
          <w:tcPr>
            <w:tcW w:w="0" w:type="auto"/>
            <w:shd w:val="clear" w:color="auto" w:fill="FFFFFF"/>
            <w:vAlign w:val="center"/>
          </w:tcPr>
          <w:p w:rsidR="00BA58D4" w:rsidRPr="00A139A2" w:rsidRDefault="00BA58D4" w:rsidP="00BA58D4">
            <w:pPr>
              <w:pStyle w:val="Nagwek3"/>
              <w:spacing w:before="120" w:after="120" w:line="240" w:lineRule="auto"/>
              <w:jc w:val="center"/>
              <w:rPr>
                <w:rFonts w:asciiTheme="minorHAnsi" w:hAnsiTheme="minorHAnsi"/>
                <w:color w:val="auto"/>
              </w:rPr>
            </w:pPr>
            <w:r w:rsidRPr="00A139A2">
              <w:rPr>
                <w:rFonts w:asciiTheme="minorHAnsi" w:hAnsiTheme="minorHAnsi"/>
                <w:color w:val="auto"/>
              </w:rPr>
              <w:t>Dodatkowa zdolność wytwarzania energii cieplnej ze źródeł odnawialnych</w:t>
            </w:r>
          </w:p>
        </w:tc>
        <w:tc>
          <w:tcPr>
            <w:tcW w:w="1519" w:type="dxa"/>
            <w:shd w:val="clear" w:color="auto" w:fill="FFFFFF"/>
            <w:vAlign w:val="center"/>
          </w:tcPr>
          <w:p w:rsidR="00BA58D4" w:rsidRPr="00790ED5" w:rsidRDefault="00BA58D4" w:rsidP="000E32B0">
            <w:pPr>
              <w:spacing w:after="0" w:line="240" w:lineRule="auto"/>
              <w:jc w:val="center"/>
              <w:rPr>
                <w:rFonts w:asciiTheme="minorHAnsi" w:hAnsiTheme="minorHAnsi"/>
              </w:rPr>
            </w:pPr>
            <w:r>
              <w:t>MWt</w:t>
            </w:r>
          </w:p>
        </w:tc>
        <w:tc>
          <w:tcPr>
            <w:tcW w:w="4551" w:type="dxa"/>
            <w:shd w:val="clear" w:color="auto" w:fill="FFFFFF"/>
            <w:vAlign w:val="center"/>
          </w:tcPr>
          <w:p w:rsidR="00BA58D4" w:rsidRDefault="00BA58D4" w:rsidP="0033458F">
            <w:pPr>
              <w:spacing w:before="120" w:after="120" w:line="240" w:lineRule="auto"/>
              <w:jc w:val="both"/>
            </w:pPr>
            <w:r>
              <w:t>Zwiększenie zdolności produkcyjnych energii cieplnej przez urządzenia wykorzystujące odnawialne źródła energii, zbudowane/przebudowane w ramach projektu.</w:t>
            </w:r>
          </w:p>
          <w:p w:rsidR="00FF4AB1" w:rsidRPr="00790ED5" w:rsidRDefault="00FF4AB1" w:rsidP="0033458F">
            <w:pPr>
              <w:spacing w:before="120" w:after="120" w:line="240" w:lineRule="auto"/>
              <w:jc w:val="both"/>
              <w:rPr>
                <w:rFonts w:asciiTheme="minorHAnsi" w:hAnsiTheme="minorHAnsi"/>
              </w:rPr>
            </w:pPr>
            <w:r>
              <w:rPr>
                <w:rFonts w:asciiTheme="minorHAnsi" w:hAnsiTheme="minorHAnsi"/>
              </w:rPr>
              <w:t xml:space="preserve">Wskaźnik dotyczy mocy zainstalowanej </w:t>
            </w:r>
            <w:r>
              <w:rPr>
                <w:rFonts w:asciiTheme="minorHAnsi" w:hAnsiTheme="minorHAnsi"/>
              </w:rPr>
              <w:br/>
              <w:t>w projekcie – wartości znamionowej mocy.</w:t>
            </w:r>
          </w:p>
        </w:tc>
      </w:tr>
      <w:tr w:rsidR="000E32B0" w:rsidRPr="000E32B0" w:rsidTr="000E32B0">
        <w:trPr>
          <w:trHeight w:val="535"/>
        </w:trPr>
        <w:tc>
          <w:tcPr>
            <w:tcW w:w="9214" w:type="dxa"/>
            <w:gridSpan w:val="4"/>
            <w:shd w:val="clear" w:color="auto" w:fill="F2F2F2"/>
            <w:vAlign w:val="center"/>
          </w:tcPr>
          <w:p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t>Wskaźnik produktu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0E32B0" w:rsidRPr="00A139A2" w:rsidRDefault="003264DD"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zmodernizowanych energetycznie budynków</w:t>
            </w:r>
          </w:p>
        </w:tc>
        <w:tc>
          <w:tcPr>
            <w:tcW w:w="1519" w:type="dxa"/>
            <w:shd w:val="clear" w:color="auto" w:fill="FFFFFF"/>
            <w:vAlign w:val="center"/>
          </w:tcPr>
          <w:p w:rsidR="000E32B0" w:rsidRPr="000E32B0" w:rsidRDefault="003264DD" w:rsidP="000E32B0">
            <w:pPr>
              <w:spacing w:after="0" w:line="240" w:lineRule="auto"/>
              <w:jc w:val="center"/>
              <w:rPr>
                <w:rFonts w:asciiTheme="minorHAnsi" w:hAnsiTheme="minorHAnsi" w:cs="Arial"/>
              </w:rPr>
            </w:pPr>
            <w:r>
              <w:t>szt.</w:t>
            </w:r>
          </w:p>
        </w:tc>
        <w:tc>
          <w:tcPr>
            <w:tcW w:w="4551" w:type="dxa"/>
            <w:shd w:val="clear" w:color="auto" w:fill="FFFFFF"/>
            <w:vAlign w:val="center"/>
          </w:tcPr>
          <w:p w:rsidR="003264DD" w:rsidRDefault="003264DD" w:rsidP="0033458F">
            <w:pPr>
              <w:spacing w:before="120" w:after="120" w:line="240" w:lineRule="auto"/>
              <w:jc w:val="both"/>
            </w:pPr>
            <w:r>
              <w:t>Wskaźnik mierzy liczbę zmodernizowanych energetycznie budynków w wyniku realizacji projektu.</w:t>
            </w:r>
          </w:p>
          <w:p w:rsidR="003264DD" w:rsidRDefault="003264DD" w:rsidP="00780D47">
            <w:pPr>
              <w:spacing w:after="120" w:line="240" w:lineRule="auto"/>
              <w:jc w:val="both"/>
            </w:pPr>
            <w:r w:rsidRPr="003264DD">
              <w:rPr>
                <w:u w:val="single"/>
              </w:rPr>
              <w:t>Budynek</w:t>
            </w:r>
            <w:r>
              <w:t xml:space="preserve"> – w rozumieniu ustawy z dnia 7 lipca 1994 r. Prawo budowlane. Poprzez budynek należy rozumieć obiekt budowla</w:t>
            </w:r>
            <w:r w:rsidR="00FB03DE">
              <w:t xml:space="preserve">ny, który jest trwale związany </w:t>
            </w:r>
            <w:r>
              <w:t xml:space="preserve">z gruntem, wydzielony </w:t>
            </w:r>
            <w:r w:rsidR="00FB03DE">
              <w:br/>
            </w:r>
            <w:r>
              <w:t>z przestrzeni za pomocą przegród budow</w:t>
            </w:r>
            <w:r w:rsidR="00FB03DE">
              <w:t xml:space="preserve">lanych oraz posiada fundamenty </w:t>
            </w:r>
            <w:r>
              <w:t>i dach.</w:t>
            </w:r>
          </w:p>
          <w:p w:rsidR="000E32B0" w:rsidRPr="000E32B0" w:rsidRDefault="003264DD" w:rsidP="0033458F">
            <w:pPr>
              <w:spacing w:after="120" w:line="240" w:lineRule="auto"/>
              <w:jc w:val="both"/>
              <w:rPr>
                <w:rFonts w:asciiTheme="minorHAnsi" w:eastAsia="Times New Roman" w:hAnsiTheme="minorHAnsi"/>
                <w:lang w:eastAsia="pl-PL"/>
              </w:rPr>
            </w:pPr>
            <w:r w:rsidRPr="003264DD">
              <w:rPr>
                <w:u w:val="single"/>
              </w:rPr>
              <w:t>Modernizacja</w:t>
            </w:r>
            <w:r>
              <w:t xml:space="preserve"> – obejmuje przebudowę, remont oraz rozbudowę budynków w celu dokonania modernizacji urządzeń energetycznych.</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rsidR="000E32B0" w:rsidRPr="00A139A2" w:rsidRDefault="003264DD"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wybudowanych jednostek wytwarzania energii elektrycznej z OZE</w:t>
            </w:r>
          </w:p>
        </w:tc>
        <w:tc>
          <w:tcPr>
            <w:tcW w:w="1519" w:type="dxa"/>
            <w:shd w:val="clear" w:color="auto" w:fill="FFFFFF"/>
            <w:vAlign w:val="center"/>
          </w:tcPr>
          <w:p w:rsidR="000E32B0" w:rsidRPr="000E32B0" w:rsidRDefault="003264DD" w:rsidP="000E32B0">
            <w:pPr>
              <w:spacing w:after="0" w:line="240" w:lineRule="auto"/>
              <w:jc w:val="center"/>
              <w:rPr>
                <w:rFonts w:asciiTheme="minorHAnsi" w:hAnsiTheme="minorHAnsi" w:cs="Arial"/>
              </w:rPr>
            </w:pPr>
            <w:r>
              <w:t>szt.</w:t>
            </w:r>
          </w:p>
        </w:tc>
        <w:tc>
          <w:tcPr>
            <w:tcW w:w="4551" w:type="dxa"/>
            <w:shd w:val="clear" w:color="auto" w:fill="FFFFFF"/>
            <w:vAlign w:val="center"/>
          </w:tcPr>
          <w:p w:rsidR="00C24833" w:rsidRDefault="00C24833" w:rsidP="0033458F">
            <w:pPr>
              <w:spacing w:before="120" w:after="0" w:line="240" w:lineRule="auto"/>
              <w:jc w:val="both"/>
            </w:pPr>
            <w:r>
              <w:t xml:space="preserve">Wskaźnik mierzy liczbę wybudowanych jednostek wytwarzania energii elektrycznej </w:t>
            </w:r>
            <w:r>
              <w:br/>
              <w:t>z OZE w wyniku realizacji projektu.</w:t>
            </w:r>
          </w:p>
          <w:p w:rsidR="0033458F" w:rsidRDefault="0033458F" w:rsidP="0033458F">
            <w:pPr>
              <w:spacing w:after="0" w:line="240" w:lineRule="auto"/>
              <w:jc w:val="both"/>
            </w:pPr>
          </w:p>
          <w:p w:rsidR="003264DD" w:rsidRDefault="003264DD" w:rsidP="00FD1DCA">
            <w:pPr>
              <w:spacing w:after="0" w:line="240" w:lineRule="auto"/>
              <w:jc w:val="both"/>
            </w:pPr>
            <w:r>
              <w:t xml:space="preserve">Wybudowana jednostka wytwarzania energii elektrycznej obejmuje: </w:t>
            </w:r>
          </w:p>
          <w:p w:rsidR="00A51E92" w:rsidRPr="00A51E92" w:rsidRDefault="003264DD" w:rsidP="00780D47">
            <w:pPr>
              <w:pStyle w:val="Akapitzlist"/>
              <w:numPr>
                <w:ilvl w:val="0"/>
                <w:numId w:val="3"/>
              </w:numPr>
              <w:spacing w:after="120" w:line="240" w:lineRule="auto"/>
              <w:ind w:left="357" w:hanging="357"/>
              <w:jc w:val="both"/>
              <w:rPr>
                <w:rFonts w:asciiTheme="minorHAnsi" w:eastAsia="Times New Roman" w:hAnsiTheme="minorHAnsi"/>
                <w:lang w:eastAsia="pl-PL"/>
              </w:rPr>
            </w:pPr>
            <w:r>
              <w:t xml:space="preserve">w przypadku budynków mieszkalnych </w:t>
            </w:r>
            <w:r>
              <w:br/>
              <w:t>i budynków użyteczności publicznej: zespół urządzeń służących do wytwarzania energii elektrycznej z OZE.</w:t>
            </w:r>
          </w:p>
          <w:p w:rsidR="00A51E92" w:rsidRPr="00A51E92" w:rsidRDefault="00A51E92" w:rsidP="0033458F">
            <w:pPr>
              <w:spacing w:after="120" w:line="240" w:lineRule="auto"/>
              <w:jc w:val="both"/>
              <w:rPr>
                <w:rFonts w:asciiTheme="minorHAnsi" w:eastAsia="Times New Roman" w:hAnsiTheme="minorHAnsi"/>
                <w:lang w:eastAsia="pl-PL"/>
              </w:rPr>
            </w:pPr>
            <w:r w:rsidRPr="00413712">
              <w:rPr>
                <w:u w:val="single"/>
              </w:rPr>
              <w:t>Odnawialne źródło energii</w:t>
            </w:r>
            <w:r w:rsidRPr="00A51E92">
              <w:t xml:space="preserve"> (zgodnie z ustawą </w:t>
            </w:r>
            <w:r w:rsidR="00FB03DE">
              <w:br/>
            </w:r>
            <w:r w:rsidRPr="00A51E92">
              <w:t>z dnia 20 lutego 2015 r. o odnawialnych źródłach energii)</w:t>
            </w:r>
            <w:r>
              <w:t xml:space="preserve"> – odnawialne, niekopalne źródła energii obejmujące energię wiatru, energię promieniowania słonecznego, energię aerotermalną, energię geotermalną, energię </w:t>
            </w:r>
            <w:r>
              <w:lastRenderedPageBreak/>
              <w:t>hydrotermalną, hydroenergię, energię fal, prądów i pływów morskich, energię otrzymywaną z biomasy, biogazu, biogazu rolniczego oraz z biopłynów.</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lastRenderedPageBreak/>
              <w:t>3</w:t>
            </w:r>
          </w:p>
        </w:tc>
        <w:tc>
          <w:tcPr>
            <w:tcW w:w="0" w:type="auto"/>
            <w:shd w:val="clear" w:color="auto" w:fill="FFFFFF"/>
            <w:vAlign w:val="center"/>
          </w:tcPr>
          <w:p w:rsidR="000E32B0" w:rsidRPr="00A139A2" w:rsidRDefault="00563654"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przebudowanych jednostek wytwarzania energii elektrycznej z OZE</w:t>
            </w:r>
          </w:p>
        </w:tc>
        <w:tc>
          <w:tcPr>
            <w:tcW w:w="1519" w:type="dxa"/>
            <w:shd w:val="clear" w:color="auto" w:fill="FFFFFF"/>
            <w:vAlign w:val="center"/>
          </w:tcPr>
          <w:p w:rsidR="000E32B0" w:rsidRPr="000E32B0" w:rsidRDefault="00563654" w:rsidP="000E32B0">
            <w:pPr>
              <w:spacing w:after="0" w:line="240" w:lineRule="auto"/>
              <w:jc w:val="center"/>
              <w:rPr>
                <w:rFonts w:asciiTheme="minorHAnsi" w:hAnsiTheme="minorHAnsi" w:cs="Arial"/>
              </w:rPr>
            </w:pPr>
            <w:r>
              <w:t>szt.</w:t>
            </w:r>
          </w:p>
        </w:tc>
        <w:tc>
          <w:tcPr>
            <w:tcW w:w="4551" w:type="dxa"/>
            <w:shd w:val="clear" w:color="auto" w:fill="FFFFFF"/>
            <w:vAlign w:val="center"/>
          </w:tcPr>
          <w:p w:rsidR="00C24833" w:rsidRDefault="00C24833" w:rsidP="0033458F">
            <w:pPr>
              <w:spacing w:before="120" w:after="0" w:line="240" w:lineRule="auto"/>
              <w:jc w:val="both"/>
            </w:pPr>
            <w:r>
              <w:t xml:space="preserve">Wskaźnik mierzy liczbę przebudowanych jednostek wytwarzania energii elektrycznej </w:t>
            </w:r>
            <w:r>
              <w:br/>
              <w:t>z OZE w wyniku realizacji projektu.</w:t>
            </w:r>
          </w:p>
          <w:p w:rsidR="00C24833" w:rsidRDefault="00C24833" w:rsidP="00FD1DCA">
            <w:pPr>
              <w:spacing w:after="0" w:line="240" w:lineRule="auto"/>
              <w:jc w:val="both"/>
            </w:pPr>
          </w:p>
          <w:p w:rsidR="00563654" w:rsidRDefault="00563654" w:rsidP="00FD1DCA">
            <w:pPr>
              <w:spacing w:after="0" w:line="240" w:lineRule="auto"/>
              <w:jc w:val="both"/>
            </w:pPr>
            <w:r>
              <w:t xml:space="preserve">Przebudowana jednostka wytwarzania energii elektrycznej obejmuje: </w:t>
            </w:r>
          </w:p>
          <w:p w:rsidR="000E32B0" w:rsidRPr="00563654" w:rsidRDefault="00563654" w:rsidP="0033458F">
            <w:pPr>
              <w:pStyle w:val="Akapitzlist"/>
              <w:numPr>
                <w:ilvl w:val="0"/>
                <w:numId w:val="3"/>
              </w:numPr>
              <w:spacing w:after="120" w:line="240" w:lineRule="auto"/>
              <w:ind w:left="357" w:hanging="357"/>
              <w:jc w:val="both"/>
              <w:rPr>
                <w:rFonts w:asciiTheme="minorHAnsi" w:hAnsiTheme="minorHAnsi" w:cs="Arial"/>
              </w:rPr>
            </w:pPr>
            <w:r>
              <w:t xml:space="preserve">w przypadku budynków mieszkalnych </w:t>
            </w:r>
            <w:r>
              <w:br/>
              <w:t>i budynków użyteczności publicznej: zespół urządzeń służących do wytwarzania energii elektrycznej z OZE.</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rsidR="000E32B0" w:rsidRPr="00A139A2" w:rsidRDefault="003F7E2A"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wybudowanych jednostek wytwarzania energii cieplnej z OZE</w:t>
            </w:r>
          </w:p>
        </w:tc>
        <w:tc>
          <w:tcPr>
            <w:tcW w:w="1519" w:type="dxa"/>
            <w:shd w:val="clear" w:color="auto" w:fill="FFFFFF"/>
            <w:vAlign w:val="center"/>
          </w:tcPr>
          <w:p w:rsidR="000E32B0" w:rsidRPr="000E32B0" w:rsidRDefault="003F7E2A" w:rsidP="000E32B0">
            <w:pPr>
              <w:spacing w:after="0" w:line="240" w:lineRule="auto"/>
              <w:jc w:val="center"/>
              <w:rPr>
                <w:rFonts w:asciiTheme="minorHAnsi" w:hAnsiTheme="minorHAnsi" w:cs="Arial"/>
              </w:rPr>
            </w:pPr>
            <w:r>
              <w:t>szt.</w:t>
            </w:r>
          </w:p>
        </w:tc>
        <w:tc>
          <w:tcPr>
            <w:tcW w:w="4551" w:type="dxa"/>
            <w:shd w:val="clear" w:color="auto" w:fill="FFFFFF"/>
            <w:vAlign w:val="center"/>
          </w:tcPr>
          <w:p w:rsidR="00C24833" w:rsidRDefault="00C24833" w:rsidP="0033458F">
            <w:pPr>
              <w:spacing w:before="120" w:after="0" w:line="240" w:lineRule="auto"/>
              <w:jc w:val="both"/>
            </w:pPr>
            <w:r>
              <w:t xml:space="preserve">Wskaźnik mierzy liczbę wybudowanych jednostek wytwarzania energii cieplnej z OZE </w:t>
            </w:r>
            <w:r>
              <w:br/>
              <w:t>w wyniku realizacji projektu.</w:t>
            </w:r>
          </w:p>
          <w:p w:rsidR="00C24833" w:rsidRDefault="00C24833" w:rsidP="00FD1DCA">
            <w:pPr>
              <w:spacing w:after="0" w:line="240" w:lineRule="auto"/>
              <w:jc w:val="both"/>
            </w:pPr>
          </w:p>
          <w:p w:rsidR="003F7E2A" w:rsidRDefault="003F7E2A" w:rsidP="00FD1DCA">
            <w:pPr>
              <w:spacing w:after="0" w:line="240" w:lineRule="auto"/>
              <w:jc w:val="both"/>
            </w:pPr>
            <w:r>
              <w:t>Wybudowana jednostka wytwarzania energii cieplnej obejmuje:</w:t>
            </w:r>
          </w:p>
          <w:p w:rsidR="000E32B0" w:rsidRPr="003F7E2A" w:rsidRDefault="003F7E2A" w:rsidP="0033458F">
            <w:pPr>
              <w:pStyle w:val="Akapitzlist"/>
              <w:numPr>
                <w:ilvl w:val="0"/>
                <w:numId w:val="3"/>
              </w:numPr>
              <w:spacing w:after="120" w:line="240" w:lineRule="auto"/>
              <w:ind w:left="357" w:hanging="357"/>
              <w:jc w:val="both"/>
              <w:rPr>
                <w:rFonts w:asciiTheme="minorHAnsi" w:hAnsiTheme="minorHAnsi" w:cs="Arial"/>
              </w:rPr>
            </w:pPr>
            <w:r>
              <w:t xml:space="preserve">w przypadku budynków mieszkalnych </w:t>
            </w:r>
            <w:r>
              <w:br/>
              <w:t>i budynków użyteczności publicznej: zespół urządzeń służących do wytwarzania energii cieplnej z OZE.</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rsidR="000E32B0" w:rsidRPr="00A139A2" w:rsidRDefault="00AE602C"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przebudowanych jednostek wytwarzania energii cieplnej z OZE</w:t>
            </w:r>
          </w:p>
        </w:tc>
        <w:tc>
          <w:tcPr>
            <w:tcW w:w="1519" w:type="dxa"/>
            <w:shd w:val="clear" w:color="auto" w:fill="FFFFFF"/>
            <w:vAlign w:val="center"/>
          </w:tcPr>
          <w:p w:rsidR="000E32B0" w:rsidRPr="000E32B0" w:rsidRDefault="00AE602C" w:rsidP="000E32B0">
            <w:pPr>
              <w:spacing w:after="0" w:line="240" w:lineRule="auto"/>
              <w:jc w:val="center"/>
              <w:rPr>
                <w:rFonts w:asciiTheme="minorHAnsi" w:hAnsiTheme="minorHAnsi" w:cs="Arial"/>
              </w:rPr>
            </w:pPr>
            <w:r>
              <w:t>szt.</w:t>
            </w:r>
          </w:p>
        </w:tc>
        <w:tc>
          <w:tcPr>
            <w:tcW w:w="4551" w:type="dxa"/>
            <w:shd w:val="clear" w:color="auto" w:fill="FFFFFF"/>
            <w:vAlign w:val="center"/>
          </w:tcPr>
          <w:p w:rsidR="00C24833" w:rsidRDefault="00C24833" w:rsidP="0033458F">
            <w:pPr>
              <w:spacing w:before="120" w:after="0" w:line="240" w:lineRule="auto"/>
              <w:jc w:val="both"/>
            </w:pPr>
            <w:r>
              <w:t xml:space="preserve">Wskaźnik mierzy liczbę przebudowanych jednostek wytwarzania energii cieplnej z OZE </w:t>
            </w:r>
            <w:r>
              <w:br/>
              <w:t>w wyniku realizacji projektu.</w:t>
            </w:r>
          </w:p>
          <w:p w:rsidR="00C24833" w:rsidRDefault="00C24833" w:rsidP="00FD1DCA">
            <w:pPr>
              <w:spacing w:after="0" w:line="240" w:lineRule="auto"/>
              <w:jc w:val="both"/>
            </w:pPr>
          </w:p>
          <w:p w:rsidR="00AE602C" w:rsidRDefault="00AE602C" w:rsidP="00FD1DCA">
            <w:pPr>
              <w:spacing w:after="0" w:line="240" w:lineRule="auto"/>
              <w:jc w:val="both"/>
            </w:pPr>
            <w:r>
              <w:t>Przebudowana jednostka wytwarzania energii cieplnej obejmuje:</w:t>
            </w:r>
          </w:p>
          <w:p w:rsidR="000E32B0" w:rsidRPr="00AE602C" w:rsidRDefault="00AE602C" w:rsidP="0033458F">
            <w:pPr>
              <w:pStyle w:val="Akapitzlist"/>
              <w:numPr>
                <w:ilvl w:val="0"/>
                <w:numId w:val="3"/>
              </w:numPr>
              <w:spacing w:after="120" w:line="240" w:lineRule="auto"/>
              <w:ind w:left="357" w:hanging="357"/>
              <w:jc w:val="both"/>
              <w:rPr>
                <w:rFonts w:asciiTheme="minorHAnsi" w:hAnsiTheme="minorHAnsi" w:cs="Arial"/>
              </w:rPr>
            </w:pPr>
            <w:r>
              <w:t xml:space="preserve">w przypadku budynków mieszkalnych </w:t>
            </w:r>
            <w:r>
              <w:br/>
              <w:t>i budynków użyteczności publicznej: zespół urządzeń służących do wytwarzania energii cieplnej z OZE.</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6</w:t>
            </w:r>
          </w:p>
        </w:tc>
        <w:tc>
          <w:tcPr>
            <w:tcW w:w="0" w:type="auto"/>
            <w:shd w:val="clear" w:color="auto" w:fill="FFFFFF"/>
            <w:vAlign w:val="center"/>
          </w:tcPr>
          <w:p w:rsidR="000E32B0" w:rsidRPr="00A139A2" w:rsidRDefault="00E77943"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Powierzchnia użytkowa budynków poddanych termomodernizacji</w:t>
            </w:r>
          </w:p>
        </w:tc>
        <w:tc>
          <w:tcPr>
            <w:tcW w:w="1519" w:type="dxa"/>
            <w:shd w:val="clear" w:color="auto" w:fill="FFFFFF"/>
            <w:vAlign w:val="center"/>
          </w:tcPr>
          <w:p w:rsidR="000E32B0" w:rsidRPr="000E32B0" w:rsidRDefault="00E77943" w:rsidP="000E32B0">
            <w:pPr>
              <w:spacing w:after="0" w:line="240" w:lineRule="auto"/>
              <w:jc w:val="center"/>
              <w:rPr>
                <w:rFonts w:asciiTheme="minorHAnsi" w:hAnsiTheme="minorHAnsi" w:cs="Arial"/>
              </w:rPr>
            </w:pPr>
            <w:r>
              <w:t>m</w:t>
            </w:r>
            <w:r w:rsidRPr="00E77943">
              <w:rPr>
                <w:vertAlign w:val="superscript"/>
              </w:rPr>
              <w:t>2</w:t>
            </w:r>
          </w:p>
        </w:tc>
        <w:tc>
          <w:tcPr>
            <w:tcW w:w="4551" w:type="dxa"/>
            <w:shd w:val="clear" w:color="auto" w:fill="FFFFFF"/>
            <w:vAlign w:val="center"/>
          </w:tcPr>
          <w:p w:rsidR="00E77943" w:rsidRDefault="00E77943" w:rsidP="0033458F">
            <w:pPr>
              <w:spacing w:before="120" w:after="0" w:line="240" w:lineRule="auto"/>
              <w:jc w:val="both"/>
            </w:pPr>
            <w:r>
              <w:t>Liczba m</w:t>
            </w:r>
            <w:r w:rsidRPr="00E77943">
              <w:rPr>
                <w:vertAlign w:val="superscript"/>
              </w:rPr>
              <w:t>2</w:t>
            </w:r>
            <w:r>
              <w:t xml:space="preserve"> powierzchni użytkowej poddanej termomodernizacji, gdzie termomodernizacja definiowana jest jako przedsięwzięcia służące poprawie efektywności energetycznej, zgodnie </w:t>
            </w:r>
            <w:r>
              <w:br/>
              <w:t xml:space="preserve">z zapisami: </w:t>
            </w:r>
          </w:p>
          <w:p w:rsidR="00E77943" w:rsidRPr="00E77943" w:rsidRDefault="00E77943" w:rsidP="00E77943">
            <w:pPr>
              <w:pStyle w:val="Akapitzlist"/>
              <w:numPr>
                <w:ilvl w:val="0"/>
                <w:numId w:val="3"/>
              </w:numPr>
              <w:spacing w:after="0" w:line="240" w:lineRule="auto"/>
              <w:ind w:left="362"/>
              <w:jc w:val="both"/>
              <w:rPr>
                <w:rFonts w:asciiTheme="minorHAnsi" w:hAnsiTheme="minorHAnsi" w:cs="Arial"/>
              </w:rPr>
            </w:pPr>
            <w:r>
              <w:t xml:space="preserve">Ustawy z dnia 15 kwietnia 2011 r. </w:t>
            </w:r>
            <w:r w:rsidR="00FB03DE">
              <w:br/>
            </w:r>
            <w:r>
              <w:t xml:space="preserve">o efektywności energetycznej; </w:t>
            </w:r>
          </w:p>
          <w:p w:rsidR="00E77943" w:rsidRPr="00E77943" w:rsidRDefault="00E77943" w:rsidP="00E77943">
            <w:pPr>
              <w:pStyle w:val="Akapitzlist"/>
              <w:numPr>
                <w:ilvl w:val="0"/>
                <w:numId w:val="3"/>
              </w:numPr>
              <w:spacing w:after="0" w:line="240" w:lineRule="auto"/>
              <w:ind w:left="362"/>
              <w:jc w:val="both"/>
              <w:rPr>
                <w:rFonts w:asciiTheme="minorHAnsi" w:hAnsiTheme="minorHAnsi" w:cs="Arial"/>
              </w:rPr>
            </w:pPr>
            <w:r>
              <w:t xml:space="preserve">Obwieszczenia Ministra Gospodarki z dnia </w:t>
            </w:r>
            <w:r w:rsidR="005252FA">
              <w:br/>
            </w:r>
            <w:r>
              <w:t xml:space="preserve">21 grudnia 2012 r. w sprawie szczegółowego wykazu przedsięwzięć służących poprawie efektywności energetycznej; </w:t>
            </w:r>
          </w:p>
          <w:p w:rsidR="000E32B0" w:rsidRPr="00E77943" w:rsidRDefault="00E77943" w:rsidP="0033458F">
            <w:pPr>
              <w:pStyle w:val="Akapitzlist"/>
              <w:numPr>
                <w:ilvl w:val="0"/>
                <w:numId w:val="3"/>
              </w:numPr>
              <w:spacing w:after="120" w:line="240" w:lineRule="auto"/>
              <w:ind w:left="357" w:hanging="357"/>
              <w:jc w:val="both"/>
              <w:rPr>
                <w:rFonts w:asciiTheme="minorHAnsi" w:hAnsiTheme="minorHAnsi" w:cs="Arial"/>
              </w:rPr>
            </w:pPr>
            <w:r>
              <w:t xml:space="preserve">Ustawy z dnia 21 listopada 2008 r. </w:t>
            </w:r>
            <w:r w:rsidR="00FB03DE">
              <w:br/>
            </w:r>
            <w:r>
              <w:t xml:space="preserve">o wspieraniu termomodernizacji </w:t>
            </w:r>
            <w:r w:rsidR="00830A14">
              <w:br/>
            </w:r>
            <w:r>
              <w:t>i remontów.</w:t>
            </w:r>
          </w:p>
        </w:tc>
      </w:tr>
      <w:tr w:rsidR="00BA31B8" w:rsidRPr="000E32B0" w:rsidTr="00BA31B8">
        <w:trPr>
          <w:trHeight w:val="575"/>
        </w:trPr>
        <w:tc>
          <w:tcPr>
            <w:tcW w:w="9214" w:type="dxa"/>
            <w:gridSpan w:val="4"/>
            <w:shd w:val="clear" w:color="auto" w:fill="F2F2F2" w:themeFill="background1" w:themeFillShade="F2"/>
            <w:vAlign w:val="center"/>
          </w:tcPr>
          <w:p w:rsidR="00BA31B8" w:rsidRPr="000E32B0" w:rsidRDefault="00BA31B8" w:rsidP="00BA31B8">
            <w:pPr>
              <w:spacing w:after="0" w:line="240" w:lineRule="auto"/>
              <w:jc w:val="center"/>
              <w:rPr>
                <w:rFonts w:asciiTheme="minorHAnsi" w:hAnsiTheme="minorHAnsi" w:cs="Arial"/>
              </w:rPr>
            </w:pPr>
            <w:r>
              <w:rPr>
                <w:rFonts w:asciiTheme="minorHAnsi" w:hAnsiTheme="minorHAnsi" w:cs="Arial"/>
                <w:b/>
              </w:rPr>
              <w:t>Horyzontalny wskaźnik produktu</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lastRenderedPageBreak/>
              <w:t>1</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obiektów dostosowanych do potrzeb osób z niepełnosprawnościami</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4F04EB" w:rsidRDefault="004F04EB" w:rsidP="0033458F">
            <w:pPr>
              <w:spacing w:before="120" w:after="120" w:line="240" w:lineRule="auto"/>
              <w:jc w:val="both"/>
            </w:pPr>
            <w:r>
              <w:t xml:space="preserve">Wskaźnik odnosi się do liczby obiektów, które zaopatrzono w specjalne podjazdy, windy, urządzenia głośnomówiące, bądź inne rozwiązania umożliwiające dostęp (tj. usunięcie barier w dostępie, w szczególności barier architektonicznych) do tych obiektów </w:t>
            </w:r>
            <w:r>
              <w:br/>
              <w:t xml:space="preserve">i poruszanie się po nich osobom </w:t>
            </w:r>
            <w:r>
              <w:br/>
              <w:t xml:space="preserve">z niepełnosprawnościami ruchowymi czy sensorycznymi. Jako obiekty budowlane należy rozumieć konstrukcje połączone z gruntem </w:t>
            </w:r>
            <w:r>
              <w:br/>
              <w:t>w sposób trwały, wykonane z materiałów budowlanych i elementów składowych, będące wynikiem prac budowlanych.</w:t>
            </w:r>
          </w:p>
          <w:p w:rsidR="00BA31B8" w:rsidRPr="000E32B0" w:rsidRDefault="004F04EB" w:rsidP="0033458F">
            <w:pPr>
              <w:spacing w:after="120" w:line="240" w:lineRule="auto"/>
              <w:jc w:val="both"/>
              <w:rPr>
                <w:rFonts w:asciiTheme="minorHAnsi" w:hAnsiTheme="minorHAnsi" w:cs="Arial"/>
              </w:rPr>
            </w:pPr>
            <w:r>
              <w:t xml:space="preserve">Należy podać liczbę obiektów, w których zastosowano rozwiązania umożliwiające dostęp osobom z niepełnosprawnościami ruchowymi czy sensorycznymi lub zaopatrzonych w sprzęt, </w:t>
            </w:r>
            <w:r w:rsidR="005252FA">
              <w:br/>
            </w:r>
            <w:r>
              <w:t xml:space="preserve">a nie liczbę sprzętów, urządzeń itp. Jeśli instytucja, zakład itp. składa się z kilku obiektów, należy zliczyć wszystkie, które dostosowano do potrzeb osób </w:t>
            </w:r>
            <w:r w:rsidR="0033458F">
              <w:br/>
            </w:r>
            <w:r>
              <w:t xml:space="preserve">z niepełnosprawnościami. Wskaźnik mierzony </w:t>
            </w:r>
            <w:r w:rsidR="0033458F">
              <w:br/>
            </w:r>
            <w:r>
              <w:t xml:space="preserve">w momencie rozliczenia wydatku związanego </w:t>
            </w:r>
            <w:r w:rsidR="0033458F">
              <w:br/>
            </w:r>
            <w:r>
              <w:t xml:space="preserve">z dostosowaniem obiektów do potrzeb osób </w:t>
            </w:r>
            <w:r w:rsidR="0033458F">
              <w:br/>
            </w:r>
            <w:r>
              <w:t>z niepełnosprawnościami w ramach danego projektu</w:t>
            </w:r>
            <w:r w:rsidR="00913BB3">
              <w:rPr>
                <w:rStyle w:val="Odwoanieprzypisudolnego"/>
              </w:rPr>
              <w:footnoteReference w:id="1"/>
            </w:r>
            <w:r>
              <w:t>.</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osób objętych szkoleniami / doradztwem w zakresie kompetencji cyfrowych</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osoby</w:t>
            </w:r>
          </w:p>
        </w:tc>
        <w:tc>
          <w:tcPr>
            <w:tcW w:w="4551" w:type="dxa"/>
            <w:shd w:val="clear" w:color="auto" w:fill="FFFFFF"/>
            <w:vAlign w:val="center"/>
          </w:tcPr>
          <w:p w:rsidR="004F04EB" w:rsidRDefault="004F04EB" w:rsidP="0033458F">
            <w:pPr>
              <w:spacing w:before="120" w:after="120" w:line="240" w:lineRule="auto"/>
              <w:jc w:val="both"/>
            </w:pPr>
            <w:r>
              <w:t xml:space="preserve">Wskaźnik mierzy liczbę osób objętych szkoleniami/doradztwem w zakresie nabywania/doskonalenia umiejętności warunkujących efektywne korzystanie z mediów elektronicznych, tj. m.in. korzystania </w:t>
            </w:r>
            <w:r w:rsidR="005252FA">
              <w:br/>
            </w:r>
            <w:r>
              <w:t>z komputera, różnych rodzajów oprogramowania, internetu oraz kompetencji ściśle informatycznych (np. programowanie, zarządzanie bazami danych, administracja sieciami, administracja witrynami internetowymi).</w:t>
            </w:r>
          </w:p>
          <w:p w:rsidR="00BA31B8" w:rsidRPr="000E32B0" w:rsidRDefault="004F04EB" w:rsidP="0033458F">
            <w:pPr>
              <w:spacing w:after="120" w:line="240" w:lineRule="auto"/>
              <w:jc w:val="both"/>
              <w:rPr>
                <w:rFonts w:asciiTheme="minorHAnsi" w:hAnsiTheme="minorHAnsi" w:cs="Arial"/>
              </w:rPr>
            </w:pPr>
            <w:r>
              <w:t>Wskaźnik ma agregować wszystkie osoby, które skorzystały ze wsparcia w zakresie TIK we wszystkich programach i projektach, także tych, gdzie szkolenie dotyczy obsługi specyficznego systemu teleinformatycznego, którego</w:t>
            </w:r>
            <w:r w:rsidR="005252FA">
              <w:t xml:space="preserve"> </w:t>
            </w:r>
            <w:r>
              <w:t xml:space="preserve">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t>
            </w:r>
            <w:r>
              <w:lastRenderedPageBreak/>
              <w:t>wskaźnika według programów, osi priorytetowych i priorytetów inwestycyjnych.</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lastRenderedPageBreak/>
              <w:t>3</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 xml:space="preserve">Liczba projektów, </w:t>
            </w:r>
            <w:r w:rsidR="00792457" w:rsidRPr="00A139A2">
              <w:rPr>
                <w:rFonts w:asciiTheme="minorHAnsi" w:hAnsiTheme="minorHAnsi"/>
                <w:color w:val="auto"/>
              </w:rPr>
              <w:br/>
            </w:r>
            <w:r w:rsidRPr="00A139A2">
              <w:rPr>
                <w:rFonts w:asciiTheme="minorHAnsi" w:hAnsiTheme="minorHAnsi"/>
                <w:color w:val="auto"/>
              </w:rPr>
              <w:t>w których sfinansowano koszty racjonalnych usprawnień dla osób z niepełnosprawnościami</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4F04EB" w:rsidRDefault="004F04EB" w:rsidP="0033458F">
            <w:pPr>
              <w:spacing w:before="120" w:after="120" w:line="240" w:lineRule="auto"/>
              <w:jc w:val="both"/>
            </w:pPr>
            <w:r>
              <w:t xml:space="preserve">Racjonalne usprawnienie oznacza konieczne </w:t>
            </w:r>
            <w:r w:rsidR="00CB600C">
              <w:br/>
            </w:r>
            <w:r>
              <w:t>i odpowiednie zmiany oraz dostosowania, nie nakładające nieproporcjonalneg</w:t>
            </w:r>
            <w:r w:rsidR="003B79E7">
              <w:t>o lub nadmiernego obciążenia,</w:t>
            </w:r>
            <w:r>
              <w:t xml:space="preserve"> rozpatrywane osobno dla każdego konkretnego przypadku, w celu zapewnienia osobom z niepełnosprawnościami możliwości korzystania z wszelkich praw człowieka i podstawowych wolności oraz ich wykonywania na zasadzie równości z innymi osobami.</w:t>
            </w:r>
          </w:p>
          <w:p w:rsidR="00BA31B8" w:rsidRPr="000E32B0" w:rsidRDefault="004F04EB" w:rsidP="0033458F">
            <w:pPr>
              <w:spacing w:after="120" w:line="240" w:lineRule="auto"/>
              <w:jc w:val="both"/>
              <w:rPr>
                <w:rFonts w:asciiTheme="minorHAnsi" w:hAnsiTheme="minorHAnsi" w:cs="Arial"/>
              </w:rPr>
            </w:pPr>
            <w:r>
              <w:t>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r w:rsidR="0033458F">
              <w:t>.</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podmiotów wykorzystujących technologie informacyjno-komunikacyjne</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BB1ED4" w:rsidRDefault="004F04EB" w:rsidP="0033458F">
            <w:pPr>
              <w:spacing w:before="120" w:after="120" w:line="240" w:lineRule="auto"/>
              <w:jc w:val="both"/>
            </w:pPr>
            <w:r>
              <w:t xml:space="preserve">Wskaźnik mierzy liczbę podmiotów, które </w:t>
            </w:r>
            <w:r w:rsidR="00CB600C">
              <w:br/>
            </w:r>
            <w:r>
              <w:t xml:space="preserve">w celu realizacji projektu, zainwestowały </w:t>
            </w:r>
            <w:r w:rsidR="00CB600C">
              <w:br/>
            </w:r>
            <w:r>
              <w:t>w technologie informacyjno-komunikacyjne</w:t>
            </w:r>
            <w:r w:rsidR="00983116">
              <w:t xml:space="preserve"> (TIK)</w:t>
            </w:r>
            <w:r>
              <w:t>, a w przypadku projektów edukacyjno</w:t>
            </w:r>
            <w:r w:rsidR="00CB600C">
              <w:t>-</w:t>
            </w:r>
            <w:r>
              <w:t>szkoleniowych, również podmiotów, które podjęły działania upow</w:t>
            </w:r>
            <w:r w:rsidR="00DA4EF4">
              <w:t>szechniające wykorzystanie TIK.</w:t>
            </w:r>
          </w:p>
          <w:p w:rsidR="00BB1ED4" w:rsidRDefault="004F04EB" w:rsidP="00BB1ED4">
            <w:pPr>
              <w:spacing w:after="120" w:line="240" w:lineRule="auto"/>
              <w:jc w:val="both"/>
            </w:pPr>
            <w:r>
              <w:t xml:space="preserve">Przez technologie informacyjno-komunikacyjne (ang. ICT Information and CommunicationsTechnology) należy rozumieć technologie pozyskiwania/produkcji, gromadzenia/przechowywania, przesyłania, przetwarzania i rozpowszechniania informacji </w:t>
            </w:r>
            <w:r w:rsidR="00CB600C">
              <w:br/>
            </w:r>
            <w:r>
              <w:t xml:space="preserve">w formie elektronicznej z wykorzystaniem technik cyfrowych i wszelkich narzędzi komunikacji elektronicznej oraz wszelkie działania związane z produkcją </w:t>
            </w:r>
            <w:r w:rsidR="00CB600C">
              <w:br/>
            </w:r>
            <w:r w:rsidR="00964E77">
              <w:t xml:space="preserve">i wykorzystaniem </w:t>
            </w:r>
            <w:r w:rsidR="0031456E">
              <w:t xml:space="preserve">urządzeń </w:t>
            </w:r>
            <w:r>
              <w:t xml:space="preserve">telekomunikacyjnych i informatycznych oraz usług im towarzyszących; działania edukacyjne </w:t>
            </w:r>
            <w:r w:rsidR="0028102D">
              <w:br/>
            </w:r>
            <w:r>
              <w:t>i szkoleniowe. W przypadku gdy beneficjentem pozostaje jeden podmiot, we wsk</w:t>
            </w:r>
            <w:r w:rsidR="00BB1ED4">
              <w:t>aźniku należy ująć wartość „1”.</w:t>
            </w:r>
          </w:p>
          <w:p w:rsidR="00BA31B8" w:rsidRPr="000E32B0" w:rsidRDefault="004F04EB" w:rsidP="0033458F">
            <w:pPr>
              <w:spacing w:after="120" w:line="240" w:lineRule="auto"/>
              <w:jc w:val="both"/>
              <w:rPr>
                <w:rFonts w:asciiTheme="minorHAnsi" w:hAnsiTheme="minorHAnsi" w:cs="Arial"/>
              </w:rPr>
            </w:pPr>
            <w:r>
              <w:t xml:space="preserve">W przypadku gdy projekt jest realizowany przez partnerstwo podmiotów, w wartości wskaźnika należy ująć każdy z podmiotów wchodzących </w:t>
            </w:r>
            <w:r w:rsidR="00CB600C">
              <w:br/>
            </w:r>
            <w:r>
              <w:t>w skład partnerstwa, który wdrożył w swojej działalności narzędzia TIK.</w:t>
            </w:r>
          </w:p>
        </w:tc>
      </w:tr>
    </w:tbl>
    <w:p w:rsidR="00855C79" w:rsidRDefault="00855C79" w:rsidP="00B57027"/>
    <w:sectPr w:rsidR="00855C79" w:rsidSect="003D0BAA">
      <w:footerReference w:type="default" r:id="rId8"/>
      <w:pgSz w:w="11906" w:h="16838"/>
      <w:pgMar w:top="284"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95D" w:rsidRDefault="008C195D" w:rsidP="00AD5066">
      <w:pPr>
        <w:spacing w:after="0" w:line="240" w:lineRule="auto"/>
      </w:pPr>
      <w:r>
        <w:separator/>
      </w:r>
    </w:p>
  </w:endnote>
  <w:endnote w:type="continuationSeparator" w:id="0">
    <w:p w:rsidR="008C195D" w:rsidRDefault="008C195D" w:rsidP="00AD5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5233088"/>
      <w:docPartObj>
        <w:docPartGallery w:val="Page Numbers (Bottom of Page)"/>
        <w:docPartUnique/>
      </w:docPartObj>
    </w:sdtPr>
    <w:sdtEndPr/>
    <w:sdtContent>
      <w:p w:rsidR="008C195D" w:rsidRDefault="00234E00">
        <w:pPr>
          <w:pStyle w:val="Stopka"/>
          <w:jc w:val="center"/>
        </w:pPr>
        <w:r>
          <w:rPr>
            <w:noProof/>
          </w:rPr>
          <w:fldChar w:fldCharType="begin"/>
        </w:r>
        <w:r>
          <w:rPr>
            <w:noProof/>
          </w:rPr>
          <w:instrText xml:space="preserve"> PAGE   \* MERGEFORMAT </w:instrText>
        </w:r>
        <w:r>
          <w:rPr>
            <w:noProof/>
          </w:rPr>
          <w:fldChar w:fldCharType="separate"/>
        </w:r>
        <w:r w:rsidR="0051725D">
          <w:rPr>
            <w:noProof/>
          </w:rPr>
          <w:t>1</w:t>
        </w:r>
        <w:r>
          <w:rPr>
            <w:noProof/>
          </w:rPr>
          <w:fldChar w:fldCharType="end"/>
        </w:r>
      </w:p>
    </w:sdtContent>
  </w:sdt>
  <w:p w:rsidR="008C195D" w:rsidRDefault="008C195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95D" w:rsidRDefault="008C195D" w:rsidP="00AD5066">
      <w:pPr>
        <w:spacing w:after="0" w:line="240" w:lineRule="auto"/>
      </w:pPr>
      <w:r>
        <w:separator/>
      </w:r>
    </w:p>
  </w:footnote>
  <w:footnote w:type="continuationSeparator" w:id="0">
    <w:p w:rsidR="008C195D" w:rsidRDefault="008C195D" w:rsidP="00AD5066">
      <w:pPr>
        <w:spacing w:after="0" w:line="240" w:lineRule="auto"/>
      </w:pPr>
      <w:r>
        <w:continuationSeparator/>
      </w:r>
    </w:p>
  </w:footnote>
  <w:footnote w:id="1">
    <w:p w:rsidR="008C195D" w:rsidRDefault="008C195D" w:rsidP="00913BB3">
      <w:pPr>
        <w:pStyle w:val="Tekstprzypisudolnego"/>
        <w:jc w:val="both"/>
      </w:pPr>
      <w:r>
        <w:rPr>
          <w:rStyle w:val="Odwoanieprzypisudolnego"/>
        </w:rPr>
        <w:footnoteRef/>
      </w:r>
      <w:r>
        <w:t xml:space="preserve"> </w:t>
      </w:r>
      <w:r>
        <w:rPr>
          <w:bCs/>
          <w:sz w:val="16"/>
          <w:szCs w:val="16"/>
        </w:rPr>
        <w:t>Wnioskodawca jest zobowiązany do wybrania tego wskaźnika oraz wskazania jego wartości docelowej jeżeli projekt ma pozytywny wpływ na zasadę równości szans i niedyskryminacji.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35AC"/>
    <w:multiLevelType w:val="hybridMultilevel"/>
    <w:tmpl w:val="8DE4DC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E244A8"/>
    <w:multiLevelType w:val="hybridMultilevel"/>
    <w:tmpl w:val="B9F81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44E20DA"/>
    <w:multiLevelType w:val="hybridMultilevel"/>
    <w:tmpl w:val="001A6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83050"/>
    <w:rsid w:val="00031BDC"/>
    <w:rsid w:val="00041C55"/>
    <w:rsid w:val="000D7119"/>
    <w:rsid w:val="000E32B0"/>
    <w:rsid w:val="000F3291"/>
    <w:rsid w:val="00123EA9"/>
    <w:rsid w:val="001434E1"/>
    <w:rsid w:val="00162FBD"/>
    <w:rsid w:val="001B4374"/>
    <w:rsid w:val="002140B0"/>
    <w:rsid w:val="00230544"/>
    <w:rsid w:val="00231C8D"/>
    <w:rsid w:val="00234E00"/>
    <w:rsid w:val="00242D5C"/>
    <w:rsid w:val="00244AB9"/>
    <w:rsid w:val="002513D0"/>
    <w:rsid w:val="00253700"/>
    <w:rsid w:val="0028102D"/>
    <w:rsid w:val="002F335D"/>
    <w:rsid w:val="00303D69"/>
    <w:rsid w:val="0031456E"/>
    <w:rsid w:val="003264DD"/>
    <w:rsid w:val="0033458F"/>
    <w:rsid w:val="003B5872"/>
    <w:rsid w:val="003B79E7"/>
    <w:rsid w:val="003D0BAA"/>
    <w:rsid w:val="003F7E2A"/>
    <w:rsid w:val="00413712"/>
    <w:rsid w:val="00435E5B"/>
    <w:rsid w:val="00445077"/>
    <w:rsid w:val="0044786F"/>
    <w:rsid w:val="0048317E"/>
    <w:rsid w:val="004A6CE7"/>
    <w:rsid w:val="004F04EB"/>
    <w:rsid w:val="004F2F17"/>
    <w:rsid w:val="0051725D"/>
    <w:rsid w:val="005252FA"/>
    <w:rsid w:val="005433DD"/>
    <w:rsid w:val="00563654"/>
    <w:rsid w:val="005B7220"/>
    <w:rsid w:val="005D0158"/>
    <w:rsid w:val="006623D0"/>
    <w:rsid w:val="00683050"/>
    <w:rsid w:val="00761B2A"/>
    <w:rsid w:val="00780D47"/>
    <w:rsid w:val="00790ED5"/>
    <w:rsid w:val="00792457"/>
    <w:rsid w:val="00814727"/>
    <w:rsid w:val="00830A14"/>
    <w:rsid w:val="00855C79"/>
    <w:rsid w:val="00857815"/>
    <w:rsid w:val="008C1839"/>
    <w:rsid w:val="008C195D"/>
    <w:rsid w:val="008D44D9"/>
    <w:rsid w:val="00913BB3"/>
    <w:rsid w:val="00914FF8"/>
    <w:rsid w:val="00923C54"/>
    <w:rsid w:val="00953706"/>
    <w:rsid w:val="00964E77"/>
    <w:rsid w:val="00983116"/>
    <w:rsid w:val="00991050"/>
    <w:rsid w:val="00A139A2"/>
    <w:rsid w:val="00A51E92"/>
    <w:rsid w:val="00A55354"/>
    <w:rsid w:val="00A91452"/>
    <w:rsid w:val="00AD5066"/>
    <w:rsid w:val="00AE602C"/>
    <w:rsid w:val="00B50C2D"/>
    <w:rsid w:val="00B57027"/>
    <w:rsid w:val="00BA31B8"/>
    <w:rsid w:val="00BA58D4"/>
    <w:rsid w:val="00BB1ED4"/>
    <w:rsid w:val="00BC53E7"/>
    <w:rsid w:val="00BE099D"/>
    <w:rsid w:val="00C24833"/>
    <w:rsid w:val="00C70445"/>
    <w:rsid w:val="00C70A4D"/>
    <w:rsid w:val="00CA07C8"/>
    <w:rsid w:val="00CB02FA"/>
    <w:rsid w:val="00CB600C"/>
    <w:rsid w:val="00D418A3"/>
    <w:rsid w:val="00DA4EF4"/>
    <w:rsid w:val="00DD7E84"/>
    <w:rsid w:val="00E01BED"/>
    <w:rsid w:val="00E03237"/>
    <w:rsid w:val="00E13FCB"/>
    <w:rsid w:val="00E455CE"/>
    <w:rsid w:val="00E61954"/>
    <w:rsid w:val="00E77943"/>
    <w:rsid w:val="00E94169"/>
    <w:rsid w:val="00EA52E4"/>
    <w:rsid w:val="00EB630B"/>
    <w:rsid w:val="00EE34B9"/>
    <w:rsid w:val="00F419E3"/>
    <w:rsid w:val="00F851BD"/>
    <w:rsid w:val="00FA4C23"/>
    <w:rsid w:val="00FB03DE"/>
    <w:rsid w:val="00FB431B"/>
    <w:rsid w:val="00FC69CE"/>
    <w:rsid w:val="00FD1DCA"/>
    <w:rsid w:val="00FF4A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7B578D-63F7-401F-B62A-7A120C8A4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semiHidden/>
    <w:rsid w:val="00683050"/>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242D5C"/>
    <w:pPr>
      <w:ind w:left="720"/>
      <w:contextualSpacing/>
    </w:pPr>
  </w:style>
  <w:style w:type="paragraph" w:styleId="Nagwek">
    <w:name w:val="header"/>
    <w:basedOn w:val="Normalny"/>
    <w:link w:val="NagwekZnak"/>
    <w:uiPriority w:val="99"/>
    <w:semiHidden/>
    <w:unhideWhenUsed/>
    <w:rsid w:val="00AD506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D5066"/>
    <w:rPr>
      <w:rFonts w:ascii="Calibri" w:eastAsia="Calibri" w:hAnsi="Calibri" w:cs="Times New Roman"/>
    </w:rPr>
  </w:style>
  <w:style w:type="paragraph" w:styleId="Stopka">
    <w:name w:val="footer"/>
    <w:basedOn w:val="Normalny"/>
    <w:link w:val="StopkaZnak"/>
    <w:uiPriority w:val="99"/>
    <w:unhideWhenUsed/>
    <w:rsid w:val="00AD50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5066"/>
    <w:rPr>
      <w:rFonts w:ascii="Calibri" w:eastAsia="Calibri" w:hAnsi="Calibri" w:cs="Times New Roman"/>
    </w:rPr>
  </w:style>
  <w:style w:type="paragraph" w:styleId="Tekstdymka">
    <w:name w:val="Balloon Text"/>
    <w:basedOn w:val="Normalny"/>
    <w:link w:val="TekstdymkaZnak"/>
    <w:uiPriority w:val="99"/>
    <w:semiHidden/>
    <w:unhideWhenUsed/>
    <w:rsid w:val="00923C5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3C54"/>
    <w:rPr>
      <w:rFonts w:ascii="Segoe UI" w:eastAsia="Calibri" w:hAnsi="Segoe UI" w:cs="Segoe UI"/>
      <w:sz w:val="18"/>
      <w:szCs w:val="18"/>
    </w:rPr>
  </w:style>
  <w:style w:type="paragraph" w:styleId="Tekstprzypisudolnego">
    <w:name w:val="footnote text"/>
    <w:basedOn w:val="Normalny"/>
    <w:link w:val="TekstprzypisudolnegoZnak"/>
    <w:uiPriority w:val="99"/>
    <w:semiHidden/>
    <w:unhideWhenUsed/>
    <w:rsid w:val="00913B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13BB3"/>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913B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040919">
      <w:bodyDiv w:val="1"/>
      <w:marLeft w:val="0"/>
      <w:marRight w:val="0"/>
      <w:marTop w:val="0"/>
      <w:marBottom w:val="0"/>
      <w:divBdr>
        <w:top w:val="none" w:sz="0" w:space="0" w:color="auto"/>
        <w:left w:val="none" w:sz="0" w:space="0" w:color="auto"/>
        <w:bottom w:val="none" w:sz="0" w:space="0" w:color="auto"/>
        <w:right w:val="none" w:sz="0" w:space="0" w:color="auto"/>
      </w:divBdr>
    </w:div>
    <w:div w:id="349794938">
      <w:bodyDiv w:val="1"/>
      <w:marLeft w:val="0"/>
      <w:marRight w:val="0"/>
      <w:marTop w:val="0"/>
      <w:marBottom w:val="0"/>
      <w:divBdr>
        <w:top w:val="none" w:sz="0" w:space="0" w:color="auto"/>
        <w:left w:val="none" w:sz="0" w:space="0" w:color="auto"/>
        <w:bottom w:val="none" w:sz="0" w:space="0" w:color="auto"/>
        <w:right w:val="none" w:sz="0" w:space="0" w:color="auto"/>
      </w:divBdr>
      <w:divsChild>
        <w:div w:id="973830166">
          <w:marLeft w:val="0"/>
          <w:marRight w:val="0"/>
          <w:marTop w:val="0"/>
          <w:marBottom w:val="0"/>
          <w:divBdr>
            <w:top w:val="none" w:sz="0" w:space="0" w:color="auto"/>
            <w:left w:val="none" w:sz="0" w:space="0" w:color="auto"/>
            <w:bottom w:val="none" w:sz="0" w:space="0" w:color="auto"/>
            <w:right w:val="none" w:sz="0" w:space="0" w:color="auto"/>
          </w:divBdr>
        </w:div>
        <w:div w:id="2133472078">
          <w:marLeft w:val="0"/>
          <w:marRight w:val="0"/>
          <w:marTop w:val="0"/>
          <w:marBottom w:val="0"/>
          <w:divBdr>
            <w:top w:val="none" w:sz="0" w:space="0" w:color="auto"/>
            <w:left w:val="none" w:sz="0" w:space="0" w:color="auto"/>
            <w:bottom w:val="none" w:sz="0" w:space="0" w:color="auto"/>
            <w:right w:val="none" w:sz="0" w:space="0" w:color="auto"/>
          </w:divBdr>
        </w:div>
        <w:div w:id="1200627156">
          <w:marLeft w:val="0"/>
          <w:marRight w:val="0"/>
          <w:marTop w:val="0"/>
          <w:marBottom w:val="0"/>
          <w:divBdr>
            <w:top w:val="none" w:sz="0" w:space="0" w:color="auto"/>
            <w:left w:val="none" w:sz="0" w:space="0" w:color="auto"/>
            <w:bottom w:val="none" w:sz="0" w:space="0" w:color="auto"/>
            <w:right w:val="none" w:sz="0" w:space="0" w:color="auto"/>
          </w:divBdr>
        </w:div>
        <w:div w:id="1280256353">
          <w:marLeft w:val="0"/>
          <w:marRight w:val="0"/>
          <w:marTop w:val="0"/>
          <w:marBottom w:val="0"/>
          <w:divBdr>
            <w:top w:val="none" w:sz="0" w:space="0" w:color="auto"/>
            <w:left w:val="none" w:sz="0" w:space="0" w:color="auto"/>
            <w:bottom w:val="none" w:sz="0" w:space="0" w:color="auto"/>
            <w:right w:val="none" w:sz="0" w:space="0" w:color="auto"/>
          </w:divBdr>
        </w:div>
        <w:div w:id="1915433634">
          <w:marLeft w:val="0"/>
          <w:marRight w:val="0"/>
          <w:marTop w:val="0"/>
          <w:marBottom w:val="0"/>
          <w:divBdr>
            <w:top w:val="none" w:sz="0" w:space="0" w:color="auto"/>
            <w:left w:val="none" w:sz="0" w:space="0" w:color="auto"/>
            <w:bottom w:val="none" w:sz="0" w:space="0" w:color="auto"/>
            <w:right w:val="none" w:sz="0" w:space="0" w:color="auto"/>
          </w:divBdr>
        </w:div>
        <w:div w:id="252058949">
          <w:marLeft w:val="0"/>
          <w:marRight w:val="0"/>
          <w:marTop w:val="0"/>
          <w:marBottom w:val="0"/>
          <w:divBdr>
            <w:top w:val="none" w:sz="0" w:space="0" w:color="auto"/>
            <w:left w:val="none" w:sz="0" w:space="0" w:color="auto"/>
            <w:bottom w:val="none" w:sz="0" w:space="0" w:color="auto"/>
            <w:right w:val="none" w:sz="0" w:space="0" w:color="auto"/>
          </w:divBdr>
        </w:div>
        <w:div w:id="44372618">
          <w:marLeft w:val="0"/>
          <w:marRight w:val="0"/>
          <w:marTop w:val="0"/>
          <w:marBottom w:val="0"/>
          <w:divBdr>
            <w:top w:val="none" w:sz="0" w:space="0" w:color="auto"/>
            <w:left w:val="none" w:sz="0" w:space="0" w:color="auto"/>
            <w:bottom w:val="none" w:sz="0" w:space="0" w:color="auto"/>
            <w:right w:val="none" w:sz="0" w:space="0" w:color="auto"/>
          </w:divBdr>
        </w:div>
        <w:div w:id="1209144235">
          <w:marLeft w:val="0"/>
          <w:marRight w:val="0"/>
          <w:marTop w:val="0"/>
          <w:marBottom w:val="0"/>
          <w:divBdr>
            <w:top w:val="none" w:sz="0" w:space="0" w:color="auto"/>
            <w:left w:val="none" w:sz="0" w:space="0" w:color="auto"/>
            <w:bottom w:val="none" w:sz="0" w:space="0" w:color="auto"/>
            <w:right w:val="none" w:sz="0" w:space="0" w:color="auto"/>
          </w:divBdr>
        </w:div>
        <w:div w:id="448553214">
          <w:marLeft w:val="0"/>
          <w:marRight w:val="0"/>
          <w:marTop w:val="0"/>
          <w:marBottom w:val="0"/>
          <w:divBdr>
            <w:top w:val="none" w:sz="0" w:space="0" w:color="auto"/>
            <w:left w:val="none" w:sz="0" w:space="0" w:color="auto"/>
            <w:bottom w:val="none" w:sz="0" w:space="0" w:color="auto"/>
            <w:right w:val="none" w:sz="0" w:space="0" w:color="auto"/>
          </w:divBdr>
        </w:div>
        <w:div w:id="189534302">
          <w:marLeft w:val="0"/>
          <w:marRight w:val="0"/>
          <w:marTop w:val="0"/>
          <w:marBottom w:val="0"/>
          <w:divBdr>
            <w:top w:val="none" w:sz="0" w:space="0" w:color="auto"/>
            <w:left w:val="none" w:sz="0" w:space="0" w:color="auto"/>
            <w:bottom w:val="none" w:sz="0" w:space="0" w:color="auto"/>
            <w:right w:val="none" w:sz="0" w:space="0" w:color="auto"/>
          </w:divBdr>
        </w:div>
        <w:div w:id="1831751993">
          <w:marLeft w:val="0"/>
          <w:marRight w:val="0"/>
          <w:marTop w:val="0"/>
          <w:marBottom w:val="0"/>
          <w:divBdr>
            <w:top w:val="none" w:sz="0" w:space="0" w:color="auto"/>
            <w:left w:val="none" w:sz="0" w:space="0" w:color="auto"/>
            <w:bottom w:val="none" w:sz="0" w:space="0" w:color="auto"/>
            <w:right w:val="none" w:sz="0" w:space="0" w:color="auto"/>
          </w:divBdr>
        </w:div>
        <w:div w:id="426460046">
          <w:marLeft w:val="0"/>
          <w:marRight w:val="0"/>
          <w:marTop w:val="0"/>
          <w:marBottom w:val="0"/>
          <w:divBdr>
            <w:top w:val="none" w:sz="0" w:space="0" w:color="auto"/>
            <w:left w:val="none" w:sz="0" w:space="0" w:color="auto"/>
            <w:bottom w:val="none" w:sz="0" w:space="0" w:color="auto"/>
            <w:right w:val="none" w:sz="0" w:space="0" w:color="auto"/>
          </w:divBdr>
        </w:div>
        <w:div w:id="1167987841">
          <w:marLeft w:val="0"/>
          <w:marRight w:val="0"/>
          <w:marTop w:val="0"/>
          <w:marBottom w:val="0"/>
          <w:divBdr>
            <w:top w:val="none" w:sz="0" w:space="0" w:color="auto"/>
            <w:left w:val="none" w:sz="0" w:space="0" w:color="auto"/>
            <w:bottom w:val="none" w:sz="0" w:space="0" w:color="auto"/>
            <w:right w:val="none" w:sz="0" w:space="0" w:color="auto"/>
          </w:divBdr>
        </w:div>
        <w:div w:id="921336377">
          <w:marLeft w:val="0"/>
          <w:marRight w:val="0"/>
          <w:marTop w:val="0"/>
          <w:marBottom w:val="0"/>
          <w:divBdr>
            <w:top w:val="none" w:sz="0" w:space="0" w:color="auto"/>
            <w:left w:val="none" w:sz="0" w:space="0" w:color="auto"/>
            <w:bottom w:val="none" w:sz="0" w:space="0" w:color="auto"/>
            <w:right w:val="none" w:sz="0" w:space="0" w:color="auto"/>
          </w:divBdr>
        </w:div>
        <w:div w:id="107240129">
          <w:marLeft w:val="0"/>
          <w:marRight w:val="0"/>
          <w:marTop w:val="0"/>
          <w:marBottom w:val="0"/>
          <w:divBdr>
            <w:top w:val="none" w:sz="0" w:space="0" w:color="auto"/>
            <w:left w:val="none" w:sz="0" w:space="0" w:color="auto"/>
            <w:bottom w:val="none" w:sz="0" w:space="0" w:color="auto"/>
            <w:right w:val="none" w:sz="0" w:space="0" w:color="auto"/>
          </w:divBdr>
        </w:div>
        <w:div w:id="1166899644">
          <w:marLeft w:val="0"/>
          <w:marRight w:val="0"/>
          <w:marTop w:val="0"/>
          <w:marBottom w:val="0"/>
          <w:divBdr>
            <w:top w:val="none" w:sz="0" w:space="0" w:color="auto"/>
            <w:left w:val="none" w:sz="0" w:space="0" w:color="auto"/>
            <w:bottom w:val="none" w:sz="0" w:space="0" w:color="auto"/>
            <w:right w:val="none" w:sz="0" w:space="0" w:color="auto"/>
          </w:divBdr>
        </w:div>
        <w:div w:id="1563520994">
          <w:marLeft w:val="0"/>
          <w:marRight w:val="0"/>
          <w:marTop w:val="0"/>
          <w:marBottom w:val="0"/>
          <w:divBdr>
            <w:top w:val="none" w:sz="0" w:space="0" w:color="auto"/>
            <w:left w:val="none" w:sz="0" w:space="0" w:color="auto"/>
            <w:bottom w:val="none" w:sz="0" w:space="0" w:color="auto"/>
            <w:right w:val="none" w:sz="0" w:space="0" w:color="auto"/>
          </w:divBdr>
        </w:div>
        <w:div w:id="1424911961">
          <w:marLeft w:val="0"/>
          <w:marRight w:val="0"/>
          <w:marTop w:val="0"/>
          <w:marBottom w:val="0"/>
          <w:divBdr>
            <w:top w:val="none" w:sz="0" w:space="0" w:color="auto"/>
            <w:left w:val="none" w:sz="0" w:space="0" w:color="auto"/>
            <w:bottom w:val="none" w:sz="0" w:space="0" w:color="auto"/>
            <w:right w:val="none" w:sz="0" w:space="0" w:color="auto"/>
          </w:divBdr>
        </w:div>
        <w:div w:id="1907956544">
          <w:marLeft w:val="0"/>
          <w:marRight w:val="0"/>
          <w:marTop w:val="0"/>
          <w:marBottom w:val="0"/>
          <w:divBdr>
            <w:top w:val="none" w:sz="0" w:space="0" w:color="auto"/>
            <w:left w:val="none" w:sz="0" w:space="0" w:color="auto"/>
            <w:bottom w:val="none" w:sz="0" w:space="0" w:color="auto"/>
            <w:right w:val="none" w:sz="0" w:space="0" w:color="auto"/>
          </w:divBdr>
        </w:div>
        <w:div w:id="1795830469">
          <w:marLeft w:val="0"/>
          <w:marRight w:val="0"/>
          <w:marTop w:val="0"/>
          <w:marBottom w:val="0"/>
          <w:divBdr>
            <w:top w:val="none" w:sz="0" w:space="0" w:color="auto"/>
            <w:left w:val="none" w:sz="0" w:space="0" w:color="auto"/>
            <w:bottom w:val="none" w:sz="0" w:space="0" w:color="auto"/>
            <w:right w:val="none" w:sz="0" w:space="0" w:color="auto"/>
          </w:divBdr>
        </w:div>
        <w:div w:id="1246572435">
          <w:marLeft w:val="0"/>
          <w:marRight w:val="0"/>
          <w:marTop w:val="0"/>
          <w:marBottom w:val="0"/>
          <w:divBdr>
            <w:top w:val="none" w:sz="0" w:space="0" w:color="auto"/>
            <w:left w:val="none" w:sz="0" w:space="0" w:color="auto"/>
            <w:bottom w:val="none" w:sz="0" w:space="0" w:color="auto"/>
            <w:right w:val="none" w:sz="0" w:space="0" w:color="auto"/>
          </w:divBdr>
        </w:div>
        <w:div w:id="635599044">
          <w:marLeft w:val="0"/>
          <w:marRight w:val="0"/>
          <w:marTop w:val="0"/>
          <w:marBottom w:val="0"/>
          <w:divBdr>
            <w:top w:val="none" w:sz="0" w:space="0" w:color="auto"/>
            <w:left w:val="none" w:sz="0" w:space="0" w:color="auto"/>
            <w:bottom w:val="none" w:sz="0" w:space="0" w:color="auto"/>
            <w:right w:val="none" w:sz="0" w:space="0" w:color="auto"/>
          </w:divBdr>
        </w:div>
        <w:div w:id="642588328">
          <w:marLeft w:val="0"/>
          <w:marRight w:val="0"/>
          <w:marTop w:val="0"/>
          <w:marBottom w:val="0"/>
          <w:divBdr>
            <w:top w:val="none" w:sz="0" w:space="0" w:color="auto"/>
            <w:left w:val="none" w:sz="0" w:space="0" w:color="auto"/>
            <w:bottom w:val="none" w:sz="0" w:space="0" w:color="auto"/>
            <w:right w:val="none" w:sz="0" w:space="0" w:color="auto"/>
          </w:divBdr>
        </w:div>
      </w:divsChild>
    </w:div>
    <w:div w:id="528029243">
      <w:bodyDiv w:val="1"/>
      <w:marLeft w:val="0"/>
      <w:marRight w:val="0"/>
      <w:marTop w:val="0"/>
      <w:marBottom w:val="0"/>
      <w:divBdr>
        <w:top w:val="none" w:sz="0" w:space="0" w:color="auto"/>
        <w:left w:val="none" w:sz="0" w:space="0" w:color="auto"/>
        <w:bottom w:val="none" w:sz="0" w:space="0" w:color="auto"/>
        <w:right w:val="none" w:sz="0" w:space="0" w:color="auto"/>
      </w:divBdr>
    </w:div>
    <w:div w:id="688139308">
      <w:bodyDiv w:val="1"/>
      <w:marLeft w:val="0"/>
      <w:marRight w:val="0"/>
      <w:marTop w:val="0"/>
      <w:marBottom w:val="0"/>
      <w:divBdr>
        <w:top w:val="none" w:sz="0" w:space="0" w:color="auto"/>
        <w:left w:val="none" w:sz="0" w:space="0" w:color="auto"/>
        <w:bottom w:val="none" w:sz="0" w:space="0" w:color="auto"/>
        <w:right w:val="none" w:sz="0" w:space="0" w:color="auto"/>
      </w:divBdr>
    </w:div>
    <w:div w:id="1862627478">
      <w:bodyDiv w:val="1"/>
      <w:marLeft w:val="0"/>
      <w:marRight w:val="0"/>
      <w:marTop w:val="0"/>
      <w:marBottom w:val="0"/>
      <w:divBdr>
        <w:top w:val="none" w:sz="0" w:space="0" w:color="auto"/>
        <w:left w:val="none" w:sz="0" w:space="0" w:color="auto"/>
        <w:bottom w:val="none" w:sz="0" w:space="0" w:color="auto"/>
        <w:right w:val="none" w:sz="0" w:space="0" w:color="auto"/>
      </w:divBdr>
    </w:div>
    <w:div w:id="213347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2F2E3-2916-4823-8558-DB4FE230C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1831</Words>
  <Characters>10990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Paweł Łopatowski</cp:lastModifiedBy>
  <cp:revision>27</cp:revision>
  <dcterms:created xsi:type="dcterms:W3CDTF">2018-02-07T14:09:00Z</dcterms:created>
  <dcterms:modified xsi:type="dcterms:W3CDTF">2019-09-17T13:41:00Z</dcterms:modified>
</cp:coreProperties>
</file>