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44858" w14:textId="5C26DC5F" w:rsidR="00384E75" w:rsidRDefault="00384E75" w:rsidP="00384E75">
      <w:pPr>
        <w:tabs>
          <w:tab w:val="left" w:pos="4253"/>
        </w:tabs>
        <w:spacing w:after="0"/>
      </w:pPr>
      <w:r>
        <w:t xml:space="preserve">Załącznik </w:t>
      </w:r>
      <w:r>
        <w:t xml:space="preserve">nr 2 </w:t>
      </w:r>
      <w:r>
        <w:t>do Uchwały nr 3/2022</w:t>
      </w:r>
    </w:p>
    <w:p w14:paraId="18383808" w14:textId="69C14904" w:rsidR="00384E75" w:rsidRDefault="00384E75" w:rsidP="00384E75">
      <w:pPr>
        <w:tabs>
          <w:tab w:val="left" w:pos="4253"/>
        </w:tabs>
        <w:spacing w:after="0"/>
      </w:pPr>
      <w:r>
        <w:t>KM RPO WK-P na lata 2014-2020</w:t>
      </w:r>
    </w:p>
    <w:p w14:paraId="3FCA394A" w14:textId="17A9EBA7" w:rsidR="00384E75" w:rsidRDefault="00384E75" w:rsidP="00384E75">
      <w:pPr>
        <w:tabs>
          <w:tab w:val="left" w:pos="4253"/>
        </w:tabs>
        <w:spacing w:after="0"/>
      </w:pPr>
      <w:r>
        <w:t>z dnia  3 lutego 2022 r.</w:t>
      </w:r>
    </w:p>
    <w:p w14:paraId="0EE7D1B2" w14:textId="77777777" w:rsidR="00384E75" w:rsidRDefault="00384E75" w:rsidP="00AF0905">
      <w:pPr>
        <w:pStyle w:val="Nagwek2"/>
        <w:spacing w:line="360" w:lineRule="auto"/>
        <w:ind w:right="-1559" w:firstLine="0"/>
        <w:rPr>
          <w:rFonts w:ascii="Calibri" w:hAnsi="Calibri"/>
          <w:sz w:val="24"/>
          <w:u w:val="single"/>
        </w:rPr>
      </w:pPr>
    </w:p>
    <w:p w14:paraId="7499120B" w14:textId="1B7FBFA5" w:rsidR="00AF0905" w:rsidRDefault="00AF0905" w:rsidP="00AF0905">
      <w:pPr>
        <w:pStyle w:val="Nagwek2"/>
        <w:spacing w:line="360" w:lineRule="auto"/>
        <w:ind w:right="-1559" w:firstLine="0"/>
        <w:rPr>
          <w:rFonts w:ascii="Calibri" w:hAnsi="Calibri"/>
          <w:sz w:val="24"/>
          <w:u w:val="single"/>
        </w:rPr>
      </w:pPr>
      <w:r>
        <w:rPr>
          <w:rFonts w:ascii="Calibri" w:hAnsi="Calibri"/>
          <w:sz w:val="24"/>
          <w:u w:val="single"/>
        </w:rPr>
        <w:t xml:space="preserve">Załącznik nr </w:t>
      </w:r>
      <w:r w:rsidR="00794458">
        <w:rPr>
          <w:rFonts w:ascii="Calibri" w:hAnsi="Calibri"/>
          <w:sz w:val="24"/>
          <w:u w:val="single"/>
        </w:rPr>
        <w:t>1</w:t>
      </w:r>
      <w:r>
        <w:rPr>
          <w:rFonts w:ascii="Calibri" w:hAnsi="Calibri"/>
          <w:sz w:val="24"/>
          <w:u w:val="single"/>
        </w:rPr>
        <w:t xml:space="preserve"> do Kryteriów wyboru projektów</w:t>
      </w:r>
      <w:r>
        <w:rPr>
          <w:rFonts w:ascii="Calibri" w:hAnsi="Calibri"/>
          <w:bCs/>
          <w:sz w:val="24"/>
          <w:u w:val="single"/>
        </w:rPr>
        <w:t>. Definicje wskaźników produktu i rezultatu.</w:t>
      </w:r>
    </w:p>
    <w:p w14:paraId="2F56251C" w14:textId="77777777" w:rsidR="00AF0905" w:rsidRDefault="00AF0905" w:rsidP="00AF090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Działanie:</w:t>
      </w:r>
      <w:r>
        <w:rPr>
          <w:sz w:val="24"/>
          <w:szCs w:val="24"/>
        </w:rPr>
        <w:t xml:space="preserve">  5.1 Infrastruktura drogowa</w:t>
      </w:r>
    </w:p>
    <w:p w14:paraId="16DA796B" w14:textId="77777777" w:rsidR="00AF0905" w:rsidRDefault="00AF0905" w:rsidP="00AF090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Oś priorytetowa:</w:t>
      </w:r>
      <w:r>
        <w:rPr>
          <w:sz w:val="24"/>
          <w:szCs w:val="24"/>
        </w:rPr>
        <w:t xml:space="preserve"> 5 Spójność wewnętrzna i dostępność zewnętrzna regionu</w:t>
      </w:r>
    </w:p>
    <w:p w14:paraId="5670B3F8" w14:textId="77777777" w:rsidR="00AF0905" w:rsidRDefault="00AF0905" w:rsidP="00AF090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18"/>
          <w:szCs w:val="18"/>
          <w:lang w:eastAsia="pl-PL"/>
        </w:rPr>
      </w:pPr>
      <w:r>
        <w:rPr>
          <w:b/>
          <w:sz w:val="24"/>
          <w:szCs w:val="24"/>
        </w:rPr>
        <w:t>Priorytet Inwestycyjny:</w:t>
      </w:r>
      <w:r>
        <w:rPr>
          <w:sz w:val="24"/>
          <w:szCs w:val="24"/>
        </w:rPr>
        <w:t xml:space="preserve">  7b Zwiększenie mobilności regionalnej poprzez łączenie węzłów drugorzędnych i trzeciorzędnych z infrastrukturą TEN-T, w tym z węzłami multimodalnymi</w:t>
      </w:r>
    </w:p>
    <w:p w14:paraId="3CB5107A" w14:textId="77777777" w:rsidR="00AF0905" w:rsidRDefault="00AF0905" w:rsidP="00AF09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Cel szczegółowy:</w:t>
      </w:r>
      <w:r>
        <w:rPr>
          <w:sz w:val="24"/>
          <w:szCs w:val="24"/>
        </w:rPr>
        <w:t xml:space="preserve">  Zwiększona dostępność transportowa drogowa województwa </w:t>
      </w:r>
    </w:p>
    <w:p w14:paraId="0945FAEE" w14:textId="77777777" w:rsidR="00AF0905" w:rsidRDefault="00AF0905" w:rsidP="00AF090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18"/>
          <w:szCs w:val="18"/>
          <w:lang w:eastAsia="pl-PL"/>
        </w:rPr>
      </w:pPr>
      <w:r>
        <w:rPr>
          <w:b/>
          <w:sz w:val="24"/>
          <w:szCs w:val="24"/>
        </w:rPr>
        <w:t>Schemat</w:t>
      </w:r>
      <w:r>
        <w:rPr>
          <w:sz w:val="24"/>
          <w:szCs w:val="24"/>
        </w:rPr>
        <w:t>: budowa i przebudowa dróg wojewódzkich na terenie miast prezydenckich</w:t>
      </w:r>
    </w:p>
    <w:p w14:paraId="5CB8316F" w14:textId="77777777" w:rsidR="00AF0905" w:rsidRDefault="00AF0905" w:rsidP="00AF0905">
      <w:pPr>
        <w:jc w:val="both"/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837"/>
        <w:gridCol w:w="1131"/>
        <w:gridCol w:w="4904"/>
      </w:tblGrid>
      <w:tr w:rsidR="00AF0905" w14:paraId="2431D053" w14:textId="77777777" w:rsidTr="00AF0905">
        <w:trPr>
          <w:trHeight w:val="57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D5946" w14:textId="77777777" w:rsidR="00AF0905" w:rsidRDefault="00AF090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6A620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Nazwa wskaźnika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FFEF59" w14:textId="77777777" w:rsidR="00AF0905" w:rsidRDefault="00AF090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8DD503" w14:textId="77777777" w:rsidR="00AF0905" w:rsidRDefault="00AF09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Definicja</w:t>
            </w:r>
          </w:p>
        </w:tc>
      </w:tr>
      <w:tr w:rsidR="00AF0905" w14:paraId="1110AE8F" w14:textId="77777777" w:rsidTr="00AF0905">
        <w:trPr>
          <w:trHeight w:val="5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11B9C6" w14:textId="77777777" w:rsidR="00AF0905" w:rsidRDefault="00AF09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Wskaźnik rezultatu bezpośredniego</w:t>
            </w:r>
          </w:p>
        </w:tc>
      </w:tr>
      <w:tr w:rsidR="00AF0905" w14:paraId="50CAEFA2" w14:textId="77777777" w:rsidTr="00AF0905">
        <w:trPr>
          <w:trHeight w:val="57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055E51" w14:textId="77777777" w:rsidR="00AF0905" w:rsidRDefault="00AF090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003660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Wskaźnik nośności drogi wojewódzkiej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32B865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kN</w:t>
            </w:r>
            <w:proofErr w:type="spellEnd"/>
            <w:r>
              <w:rPr>
                <w:b/>
                <w:sz w:val="20"/>
                <w:szCs w:val="20"/>
              </w:rPr>
              <w:t>/oś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D8EB62" w14:textId="77777777" w:rsidR="00AF0905" w:rsidRDefault="00AF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Zdolność nawierzchni drogi do przenoszenia obciążeń od ruchu drogowego.</w:t>
            </w:r>
          </w:p>
        </w:tc>
      </w:tr>
      <w:tr w:rsidR="00AF0905" w14:paraId="0E77301A" w14:textId="77777777" w:rsidTr="00AF0905">
        <w:trPr>
          <w:trHeight w:val="4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57FC4F" w14:textId="77777777" w:rsidR="00AF0905" w:rsidRDefault="00AF09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Wskaźnik produktu</w:t>
            </w:r>
          </w:p>
        </w:tc>
      </w:tr>
      <w:tr w:rsidR="00AF0905" w14:paraId="0FB0F64C" w14:textId="77777777" w:rsidTr="00AF0905">
        <w:trPr>
          <w:trHeight w:val="56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7D2147" w14:textId="77777777" w:rsidR="00AF0905" w:rsidRDefault="00AF090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724D61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Długość wybudowanych dróg wojewódzkich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0F38A4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km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FC9A1B" w14:textId="77777777" w:rsidR="00AF0905" w:rsidRDefault="00AF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Całkowita długość dróg wojewódzkich objętych projektem, w przypadku </w:t>
            </w:r>
            <w:r>
              <w:rPr>
                <w:sz w:val="20"/>
                <w:szCs w:val="20"/>
              </w:rPr>
              <w:tab/>
              <w:t xml:space="preserve">których a) wcześniej nie istniała żadna droga (względnie pas drogowy przebiegał w innych granicach) lub b) przepustowość i jakość wcześniej istniejącej drogi została </w:t>
            </w:r>
            <w:r>
              <w:rPr>
                <w:sz w:val="20"/>
                <w:szCs w:val="20"/>
              </w:rPr>
              <w:tab/>
              <w:t xml:space="preserve">podniesiona do wyższego poziomu klasyfikacji (klasa dróg określająca zbiór wymagań technicznych i użytkowych, zgodnie z Rozporządzeniem Ministra Transportu i Gospodarki Morskiej </w:t>
            </w:r>
            <w:r>
              <w:rPr>
                <w:sz w:val="20"/>
                <w:szCs w:val="20"/>
              </w:rPr>
              <w:br/>
              <w:t>z 2 marca 1999 r.).</w:t>
            </w:r>
          </w:p>
        </w:tc>
      </w:tr>
      <w:tr w:rsidR="00AF0905" w14:paraId="5CFF83B9" w14:textId="77777777" w:rsidTr="00AF0905">
        <w:trPr>
          <w:trHeight w:val="56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585B9" w14:textId="77777777" w:rsidR="00AF0905" w:rsidRDefault="00AF090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47C1F5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Długość przebudowanych dróg wojewódzkich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E88CDF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km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71420B" w14:textId="77777777" w:rsidR="00AF0905" w:rsidRDefault="00AF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Długość dróg wojewódzkich, których przepustowość lub jakość (z uwzględnieniem </w:t>
            </w:r>
            <w:r>
              <w:rPr>
                <w:sz w:val="20"/>
                <w:szCs w:val="20"/>
              </w:rPr>
              <w:tab/>
              <w:t>standardów bezpieczeństwa) została poprawiona. Przebudowa obejmuje roboty budowlane, w wyniku których zmianie ulegają charakterystyczne parametry w zakresie niewymagającym zmiany granic pasa drogowego.</w:t>
            </w:r>
          </w:p>
        </w:tc>
      </w:tr>
      <w:tr w:rsidR="00AF0905" w14:paraId="0D8767C7" w14:textId="77777777" w:rsidTr="00AF0905">
        <w:trPr>
          <w:trHeight w:val="56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6D4758" w14:textId="77777777" w:rsidR="00AF0905" w:rsidRDefault="00AF090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56CD76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Liczba zakupionego sprzętu/systemów służących poprawie bezpieczeństwa/ochrony uczestników ruchu drogowego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15278B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AED1D" w14:textId="77777777" w:rsidR="00AF0905" w:rsidRDefault="00AF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sztuk zakupionego sprzętu oraz systemów, które wykorzystywane będą w celu poprawy bezpieczeństwa uczestników ruchu drogowego.</w:t>
            </w:r>
          </w:p>
        </w:tc>
      </w:tr>
      <w:tr w:rsidR="00AF0905" w14:paraId="36991F8D" w14:textId="77777777" w:rsidTr="00AF0905">
        <w:trPr>
          <w:trHeight w:val="56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A4E2AF" w14:textId="77777777" w:rsidR="00AF0905" w:rsidRDefault="00AF09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</w:tbl>
    <w:p w14:paraId="2B5C451B" w14:textId="77777777" w:rsidR="00AF0905" w:rsidRDefault="00AF0905" w:rsidP="00AF0905">
      <w:pPr>
        <w:spacing w:after="0" w:line="240" w:lineRule="auto"/>
        <w:rPr>
          <w:b/>
          <w:sz w:val="20"/>
          <w:szCs w:val="20"/>
        </w:rPr>
        <w:sectPr w:rsidR="00AF0905">
          <w:pgSz w:w="11906" w:h="16838"/>
          <w:pgMar w:top="1670" w:right="1417" w:bottom="1417" w:left="1417" w:header="708" w:footer="708" w:gutter="0"/>
          <w:cols w:space="708"/>
        </w:sectPr>
      </w:pPr>
    </w:p>
    <w:p w14:paraId="0DD3F155" w14:textId="77777777" w:rsidR="00AF0905" w:rsidRDefault="00AF0905" w:rsidP="00AF0905">
      <w:pPr>
        <w:spacing w:after="0" w:line="240" w:lineRule="auto"/>
        <w:rPr>
          <w:b/>
          <w:sz w:val="20"/>
          <w:szCs w:val="20"/>
        </w:rPr>
        <w:sectPr w:rsidR="00AF0905">
          <w:type w:val="continuous"/>
          <w:pgSz w:w="11906" w:h="16838"/>
          <w:pgMar w:top="1670" w:right="1417" w:bottom="1417" w:left="1417" w:header="708" w:footer="708" w:gutter="0"/>
          <w:cols w:space="708"/>
        </w:sect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2871"/>
        <w:gridCol w:w="1131"/>
        <w:gridCol w:w="4904"/>
      </w:tblGrid>
      <w:tr w:rsidR="00AF0905" w14:paraId="0769B37E" w14:textId="77777777" w:rsidTr="00AF0905">
        <w:trPr>
          <w:trHeight w:val="5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DDF929" w14:textId="77777777" w:rsidR="00AF0905" w:rsidRDefault="00AF090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C64F9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5CAA7E72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C1BB07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30A655" w14:textId="77777777" w:rsidR="00AF0905" w:rsidRDefault="00AF0905">
            <w:pPr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 ramach danego projektu</w:t>
            </w:r>
            <w:r>
              <w:rPr>
                <w:rFonts w:cs="Calibri"/>
                <w:color w:val="000000"/>
                <w:sz w:val="20"/>
                <w:szCs w:val="20"/>
                <w:vertAlign w:val="superscript"/>
              </w:rPr>
              <w:footnoteReference w:id="1"/>
            </w:r>
            <w:r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</w:tr>
      <w:tr w:rsidR="00AF0905" w14:paraId="0256B8D1" w14:textId="77777777" w:rsidTr="00AF0905">
        <w:trPr>
          <w:trHeight w:val="5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17AD7B" w14:textId="77777777" w:rsidR="00AF0905" w:rsidRDefault="00AF090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7372E" w14:textId="77777777" w:rsidR="00AF0905" w:rsidRDefault="00AF090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14:paraId="62BC9DF9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05577C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FA1DD1" w14:textId="77777777" w:rsidR="00AF0905" w:rsidRDefault="00AF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Wskaźnik mierzy liczbę osób objętych szkoleniami/ doradztwem w zakresie nabywania/doskonalenia umiejętności warunkujących efektywne korzystanie z mediów elektronicznych tj. m.in. korzystania z komputera, różnych rodzajów oprogramowania, </w:t>
            </w:r>
            <w:proofErr w:type="spellStart"/>
            <w:r>
              <w:rPr>
                <w:sz w:val="20"/>
                <w:szCs w:val="20"/>
              </w:rPr>
              <w:t>internetu</w:t>
            </w:r>
            <w:proofErr w:type="spellEnd"/>
            <w:r>
              <w:rPr>
                <w:sz w:val="20"/>
                <w:szCs w:val="20"/>
              </w:rPr>
              <w:t xml:space="preserve"> oraz kompetencji ściśle informatycznych (np. 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AF0905" w14:paraId="5B063D9D" w14:textId="77777777" w:rsidTr="00AF0905">
        <w:trPr>
          <w:trHeight w:val="5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FCCDE4" w14:textId="77777777" w:rsidR="00AF0905" w:rsidRDefault="00AF090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384DD" w14:textId="77777777" w:rsidR="00AF0905" w:rsidRDefault="00AF0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7EBCE561" w14:textId="77777777" w:rsidR="00AF0905" w:rsidRDefault="00AF090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14:paraId="2FB8A4F0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9C57D7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2A5FA" w14:textId="77777777" w:rsidR="00AF0905" w:rsidRDefault="00AF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Racjonalne usprawnienie oznacza konieczne i odpowiednie zmiany oraz dostosowania, nie nakładające nieproporcjonalnego lub nadmiernego obciążenia, rozpatrywane osobno dla każdego konkretnego przypadku, w celu zapewnienia osobom </w:t>
            </w:r>
            <w:r>
              <w:rPr>
                <w:sz w:val="20"/>
                <w:szCs w:val="20"/>
              </w:rPr>
              <w:br/>
              <w:t xml:space="preserve">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</w:t>
            </w:r>
            <w:r>
              <w:rPr>
                <w:sz w:val="20"/>
                <w:szCs w:val="20"/>
              </w:rPr>
              <w:lastRenderedPageBreak/>
              <w:t>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AF0905" w14:paraId="055A9105" w14:textId="77777777" w:rsidTr="00AF0905">
        <w:trPr>
          <w:trHeight w:val="56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76890D" w14:textId="77777777" w:rsidR="00AF0905" w:rsidRDefault="00AF090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48977" w14:textId="77777777" w:rsidR="00AF0905" w:rsidRDefault="00AF0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58CAA0F3" w14:textId="77777777" w:rsidR="00AF0905" w:rsidRDefault="00AF090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Liczba podmiotów wykorzystujących technologie informacyjno-komunikacyjne</w:t>
            </w:r>
          </w:p>
          <w:p w14:paraId="708D7AE4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B07D40" w14:textId="77777777" w:rsidR="00AF0905" w:rsidRDefault="00AF090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C20D57" w14:textId="77777777" w:rsidR="00AF0905" w:rsidRDefault="00AF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Wskaźnik mierzy liczbę podmiotów, które w celu realizacji projektu, zainwestowały w technologie informacyjno-komunikacyjne (TIK),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</w:t>
            </w:r>
            <w:r>
              <w:rPr>
                <w:sz w:val="20"/>
                <w:szCs w:val="20"/>
              </w:rPr>
              <w:br/>
              <w:t xml:space="preserve">i szkoleniowe. </w:t>
            </w:r>
          </w:p>
          <w:p w14:paraId="56869DA4" w14:textId="77777777" w:rsidR="00AF0905" w:rsidRDefault="00AF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gdy beneficjentem pozostaje jeden podmiot, we wskaźniku należy ująć wartość „1”. </w:t>
            </w:r>
            <w:r>
              <w:rPr>
                <w:sz w:val="20"/>
                <w:szCs w:val="20"/>
              </w:rPr>
              <w:br/>
              <w:t>W przypadku gdy projekt jest realizowany przez partnerstwo podmiotów, w wartości wskaźnika należy ująć każdy z podmiotów wchodzących w skład partnerstwa, który wdrożył w swojej działalności narzędzia TIK.</w:t>
            </w:r>
          </w:p>
        </w:tc>
      </w:tr>
    </w:tbl>
    <w:p w14:paraId="7E7A2AA1" w14:textId="77777777" w:rsidR="00AF0905" w:rsidRDefault="00AF0905" w:rsidP="00AF0905">
      <w:pPr>
        <w:rPr>
          <w:sz w:val="20"/>
          <w:szCs w:val="20"/>
        </w:rPr>
      </w:pPr>
    </w:p>
    <w:p w14:paraId="3D6A8513" w14:textId="77777777" w:rsidR="000B788C" w:rsidRDefault="000B788C"/>
    <w:sectPr w:rsidR="000B7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03FD1" w14:textId="77777777" w:rsidR="003B52A4" w:rsidRDefault="003B52A4" w:rsidP="00AF0905">
      <w:pPr>
        <w:spacing w:after="0" w:line="240" w:lineRule="auto"/>
      </w:pPr>
      <w:r>
        <w:separator/>
      </w:r>
    </w:p>
  </w:endnote>
  <w:endnote w:type="continuationSeparator" w:id="0">
    <w:p w14:paraId="1125883A" w14:textId="77777777" w:rsidR="003B52A4" w:rsidRDefault="003B52A4" w:rsidP="00AF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360AA" w14:textId="77777777" w:rsidR="003B52A4" w:rsidRDefault="003B52A4" w:rsidP="00AF0905">
      <w:pPr>
        <w:spacing w:after="0" w:line="240" w:lineRule="auto"/>
      </w:pPr>
      <w:r>
        <w:separator/>
      </w:r>
    </w:p>
  </w:footnote>
  <w:footnote w:type="continuationSeparator" w:id="0">
    <w:p w14:paraId="42B85CF5" w14:textId="77777777" w:rsidR="003B52A4" w:rsidRDefault="003B52A4" w:rsidP="00AF0905">
      <w:pPr>
        <w:spacing w:after="0" w:line="240" w:lineRule="auto"/>
      </w:pPr>
      <w:r>
        <w:continuationSeparator/>
      </w:r>
    </w:p>
  </w:footnote>
  <w:footnote w:id="1">
    <w:p w14:paraId="2FC25D13" w14:textId="77777777" w:rsidR="00AF0905" w:rsidRDefault="00AF0905" w:rsidP="00AF0905">
      <w:pPr>
        <w:pStyle w:val="Tekstprzypisudolnego"/>
        <w:ind w:right="-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bCs/>
          <w:sz w:val="16"/>
          <w:szCs w:val="16"/>
        </w:rPr>
        <w:t>Wnioskodawca jest zobowiązany do wybrania tego wskaźnika oraz wskazania jego wartości docelowej jeżeli projekt ma pozytywny wpływ na zasadę równości szans i niedyskryminacji.</w:t>
      </w:r>
    </w:p>
    <w:p w14:paraId="4E795BAC" w14:textId="77777777" w:rsidR="00AF0905" w:rsidRDefault="00AF0905" w:rsidP="00AF0905">
      <w:pPr>
        <w:pStyle w:val="Tekstprzypisudolnego"/>
        <w:ind w:right="-1559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C97"/>
    <w:rsid w:val="000B788C"/>
    <w:rsid w:val="00265459"/>
    <w:rsid w:val="00384E75"/>
    <w:rsid w:val="003B52A4"/>
    <w:rsid w:val="00794458"/>
    <w:rsid w:val="007F5C97"/>
    <w:rsid w:val="008442B5"/>
    <w:rsid w:val="00AF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72B14"/>
  <w15:chartTrackingRefBased/>
  <w15:docId w15:val="{04E16CD5-1F8B-4425-9E69-FCBA4940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090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0905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0905"/>
    <w:rPr>
      <w:rFonts w:ascii="Tahoma" w:eastAsia="Times New Roman" w:hAnsi="Tahoma" w:cs="Times New Roman"/>
      <w:b/>
      <w:sz w:val="20"/>
      <w:szCs w:val="24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semiHidden/>
    <w:locked/>
    <w:rsid w:val="00AF0905"/>
    <w:rPr>
      <w:lang w:val="x-none" w:eastAsia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semiHidden/>
    <w:unhideWhenUsed/>
    <w:qFormat/>
    <w:rsid w:val="00AF0905"/>
    <w:pPr>
      <w:spacing w:after="0" w:line="240" w:lineRule="auto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F090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AF09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F0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9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9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3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Sikora</dc:creator>
  <cp:keywords/>
  <dc:description/>
  <cp:lastModifiedBy>Dorota Sawicka</cp:lastModifiedBy>
  <cp:revision>4</cp:revision>
  <cp:lastPrinted>2022-02-04T07:19:00Z</cp:lastPrinted>
  <dcterms:created xsi:type="dcterms:W3CDTF">2019-11-05T18:04:00Z</dcterms:created>
  <dcterms:modified xsi:type="dcterms:W3CDTF">2022-02-04T07:19:00Z</dcterms:modified>
</cp:coreProperties>
</file>