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color w:val="FF0000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sz w:val="24"/>
          <w:szCs w:val="24"/>
        </w:rPr>
        <w:t>Działanie:</w:t>
      </w:r>
      <w:r w:rsidRPr="007932C3">
        <w:rPr>
          <w:sz w:val="24"/>
          <w:szCs w:val="24"/>
        </w:rPr>
        <w:t xml:space="preserve">  4.1 Przeciwdziałanie zagrożeniom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sz w:val="24"/>
          <w:szCs w:val="24"/>
        </w:rPr>
        <w:t>Poddziałanie:</w:t>
      </w:r>
      <w:r w:rsidRPr="007932C3">
        <w:rPr>
          <w:sz w:val="24"/>
          <w:szCs w:val="24"/>
        </w:rPr>
        <w:t xml:space="preserve">  4.1.2 Wzmocnienie systemów ratownictwa chemiczno-ekologicznego i służb ratowniczych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bCs/>
          <w:sz w:val="24"/>
          <w:szCs w:val="24"/>
        </w:rPr>
        <w:t xml:space="preserve">Oś Priorytetowa: 4 </w:t>
      </w:r>
      <w:r w:rsidRPr="007932C3">
        <w:rPr>
          <w:bCs/>
          <w:sz w:val="24"/>
          <w:szCs w:val="24"/>
        </w:rPr>
        <w:t>Region przyjazny środowisku</w:t>
      </w:r>
    </w:p>
    <w:p w:rsidR="007932C3" w:rsidRPr="007932C3" w:rsidRDefault="007932C3" w:rsidP="007932C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7932C3">
        <w:rPr>
          <w:b/>
          <w:sz w:val="24"/>
          <w:szCs w:val="24"/>
        </w:rPr>
        <w:t>Priorytet inwestycyjny:</w:t>
      </w:r>
      <w:r w:rsidRPr="007932C3">
        <w:rPr>
          <w:sz w:val="24"/>
          <w:szCs w:val="24"/>
        </w:rPr>
        <w:t xml:space="preserve">  5b Wspieranie inwestycji ukierunkowanych na konkretne rodzaje zagrożeń przy jednoczesnym zwiększeniu odporności na klęski i katastrofy i rozwijaniu systemów zarządzania klęskami i katastrofami</w:t>
      </w:r>
      <w:r w:rsidRPr="007932C3">
        <w:rPr>
          <w:rFonts w:ascii="Cambria" w:hAnsi="Cambria" w:cs="Cambria"/>
          <w:sz w:val="18"/>
          <w:szCs w:val="18"/>
          <w:lang w:eastAsia="pl-PL"/>
        </w:rPr>
        <w:t xml:space="preserve"> </w:t>
      </w:r>
    </w:p>
    <w:p w:rsidR="007932C3" w:rsidRPr="007932C3" w:rsidRDefault="007932C3" w:rsidP="007932C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7932C3">
        <w:rPr>
          <w:b/>
          <w:sz w:val="24"/>
          <w:szCs w:val="24"/>
        </w:rPr>
        <w:t>Schemat:</w:t>
      </w:r>
      <w:r w:rsidRPr="007932C3">
        <w:rPr>
          <w:sz w:val="24"/>
          <w:szCs w:val="24"/>
        </w:rPr>
        <w:t xml:space="preserve"> zakup pojazdów ratowniczo-gaśniczych 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</w:p>
    <w:p w:rsidR="00A65FB1" w:rsidRDefault="00A65FB1" w:rsidP="00A65FB1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335"/>
        <w:gridCol w:w="1529"/>
        <w:gridCol w:w="4736"/>
      </w:tblGrid>
      <w:tr w:rsidR="00B94E16" w:rsidRPr="000A6A8D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B94E16" w:rsidRPr="000A6A8D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B94E16" w:rsidRPr="000A6A8D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B94E16" w:rsidRPr="000A6A8D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B94E16" w:rsidRPr="000A6A8D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Definicja wskaźnika</w:t>
            </w:r>
          </w:p>
        </w:tc>
      </w:tr>
      <w:tr w:rsidR="00B94E16" w:rsidRPr="000A6A8D" w:rsidTr="00B94E16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B94E16" w:rsidRPr="000A6A8D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rezultatu bezpośredniego</w:t>
            </w:r>
          </w:p>
        </w:tc>
      </w:tr>
      <w:tr w:rsidR="00274607" w:rsidRPr="000A6A8D" w:rsidTr="00560AB2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274607" w:rsidRPr="000A6A8D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0A6A8D" w:rsidRDefault="007932C3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Liczba osób zabezpieczonych przed zagrożeniami naturalnymi i poważnymi awariami w wyniku realizacji projektów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607" w:rsidRPr="000A6A8D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0A6A8D" w:rsidRDefault="006E51A7" w:rsidP="00423CE2">
            <w:pPr>
              <w:spacing w:before="80" w:after="6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sz w:val="20"/>
                <w:szCs w:val="20"/>
              </w:rPr>
              <w:t>Wskaźnik monitoruje potencjalną liczbę osób, które odnoszą korzyści w postaci lepszego zabezpieczania przed zagrożeniami naturalnymi i poważnymi awariami w wyniku realizacji projektu. Wskaźnik liczony jest jako liczba mieszkańców obszarów objętych działaniami służb ratunkowych, wspartych w wyniku realizowanego projektu.</w:t>
            </w:r>
          </w:p>
        </w:tc>
      </w:tr>
      <w:tr w:rsidR="00A65FB1" w:rsidRPr="000A6A8D" w:rsidTr="00EA400A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:rsidR="00A65FB1" w:rsidRPr="000A6A8D" w:rsidRDefault="00A65FB1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produktu</w:t>
            </w:r>
          </w:p>
        </w:tc>
      </w:tr>
      <w:tr w:rsidR="00274607" w:rsidRPr="000A6A8D" w:rsidTr="00EA400A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274607" w:rsidRPr="000A6A8D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274607" w:rsidRPr="000A6A8D" w:rsidRDefault="007932C3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0A6A8D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0A6A8D" w:rsidRDefault="006E51A7" w:rsidP="00423CE2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A6A8D">
              <w:rPr>
                <w:rFonts w:asciiTheme="minorHAnsi" w:hAnsiTheme="minorHAnsi" w:cs="Arial"/>
                <w:sz w:val="20"/>
                <w:szCs w:val="20"/>
              </w:rPr>
              <w:t>Liczba jednostek słu</w:t>
            </w:r>
            <w:bookmarkStart w:id="0" w:name="_GoBack"/>
            <w:bookmarkEnd w:id="0"/>
            <w:r w:rsidRPr="000A6A8D">
              <w:rPr>
                <w:rFonts w:asciiTheme="minorHAnsi" w:hAnsiTheme="minorHAnsi" w:cs="Arial"/>
                <w:sz w:val="20"/>
                <w:szCs w:val="20"/>
              </w:rPr>
              <w:t>żb ratowniczych, które w ramach zrealizowanych projektów zostały doposażone w</w:t>
            </w:r>
            <w:r w:rsidR="009E13B3" w:rsidRPr="000A6A8D">
              <w:rPr>
                <w:rFonts w:asciiTheme="minorHAnsi" w:hAnsiTheme="minorHAnsi" w:cs="Arial"/>
                <w:sz w:val="20"/>
                <w:szCs w:val="20"/>
              </w:rPr>
              <w:t> </w:t>
            </w:r>
            <w:r w:rsidRPr="000A6A8D">
              <w:rPr>
                <w:rFonts w:asciiTheme="minorHAnsi" w:hAnsiTheme="minorHAnsi" w:cs="Arial"/>
                <w:sz w:val="20"/>
                <w:szCs w:val="20"/>
              </w:rPr>
              <w:t>pojazdy ratowniczo-gaśnicze.</w:t>
            </w:r>
          </w:p>
        </w:tc>
      </w:tr>
      <w:tr w:rsidR="001A48C7" w:rsidRPr="000A6A8D" w:rsidTr="001A48C7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1A48C7" w:rsidRPr="000A6A8D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0A6A8D" w:rsidRDefault="001A48C7" w:rsidP="00423CE2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</w:t>
            </w:r>
            <w:r w:rsidRPr="000A6A8D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lastRenderedPageBreak/>
              <w:t>w momencie rozliczenia wydatku związanego z dostosowaniem obiektów do potrzeb osób z niepełnosprawnościami w ramach danego projektu.</w:t>
            </w:r>
          </w:p>
        </w:tc>
      </w:tr>
      <w:tr w:rsidR="001A48C7" w:rsidRPr="000A6A8D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0A6A8D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sz w:val="20"/>
                <w:szCs w:val="20"/>
              </w:rPr>
              <w:t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1A48C7" w:rsidRPr="000A6A8D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0A6A8D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0A6A8D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1A48C7" w:rsidRPr="000A6A8D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0A6A8D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0A6A8D">
              <w:rPr>
                <w:rFonts w:eastAsia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AB7EB9" w:rsidRPr="000A6A8D">
              <w:rPr>
                <w:rFonts w:eastAsia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0A6A8D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0A6A8D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A6A8D">
              <w:rPr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AB7EB9" w:rsidRPr="000A6A8D">
              <w:rPr>
                <w:sz w:val="20"/>
                <w:szCs w:val="20"/>
              </w:rPr>
              <w:t xml:space="preserve"> (TIK)</w:t>
            </w:r>
            <w:r w:rsidRPr="000A6A8D">
              <w:rPr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</w:t>
            </w:r>
            <w:r w:rsidRPr="000A6A8D">
              <w:rPr>
                <w:sz w:val="20"/>
                <w:szCs w:val="20"/>
              </w:rPr>
              <w:lastRenderedPageBreak/>
              <w:t>usług im towarzyszących; działania edukacyjne i szkoleniowe. 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:rsidR="00254AC2" w:rsidRDefault="00254AC2"/>
    <w:sectPr w:rsidR="00254AC2" w:rsidSect="00752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04D85"/>
    <w:multiLevelType w:val="hybridMultilevel"/>
    <w:tmpl w:val="5B08C2E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1"/>
    <w:rsid w:val="000A6A8D"/>
    <w:rsid w:val="000D5DFB"/>
    <w:rsid w:val="001A48C7"/>
    <w:rsid w:val="001C00FC"/>
    <w:rsid w:val="001D62DA"/>
    <w:rsid w:val="00254AC2"/>
    <w:rsid w:val="00274607"/>
    <w:rsid w:val="00336601"/>
    <w:rsid w:val="00423CE2"/>
    <w:rsid w:val="00560AB2"/>
    <w:rsid w:val="00565E26"/>
    <w:rsid w:val="006E51A7"/>
    <w:rsid w:val="00752862"/>
    <w:rsid w:val="00756592"/>
    <w:rsid w:val="00785119"/>
    <w:rsid w:val="007932C3"/>
    <w:rsid w:val="007C5102"/>
    <w:rsid w:val="00844C3F"/>
    <w:rsid w:val="008A1B8F"/>
    <w:rsid w:val="008C74D4"/>
    <w:rsid w:val="009E13B3"/>
    <w:rsid w:val="009F261E"/>
    <w:rsid w:val="00A4277E"/>
    <w:rsid w:val="00A65FB1"/>
    <w:rsid w:val="00A7799F"/>
    <w:rsid w:val="00A9490D"/>
    <w:rsid w:val="00AB6634"/>
    <w:rsid w:val="00AB7EB9"/>
    <w:rsid w:val="00B81438"/>
    <w:rsid w:val="00B94E16"/>
    <w:rsid w:val="00C04E5D"/>
    <w:rsid w:val="00CF3E9C"/>
    <w:rsid w:val="00D4410C"/>
    <w:rsid w:val="00EA400A"/>
    <w:rsid w:val="00F87A83"/>
    <w:rsid w:val="00FD6E0A"/>
    <w:rsid w:val="00F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6B97-26FA-44CD-AE51-B6E4D86D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Bezodstpw">
    <w:name w:val="No Spacing"/>
    <w:uiPriority w:val="1"/>
    <w:qFormat/>
    <w:rsid w:val="00B94E16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9</cp:revision>
  <dcterms:created xsi:type="dcterms:W3CDTF">2018-03-20T07:45:00Z</dcterms:created>
  <dcterms:modified xsi:type="dcterms:W3CDTF">2018-03-23T07:48:00Z</dcterms:modified>
</cp:coreProperties>
</file>