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0FAD" w14:textId="30103123" w:rsidR="007337DE" w:rsidRPr="0016162D" w:rsidRDefault="007337DE" w:rsidP="007337DE">
      <w:pPr>
        <w:tabs>
          <w:tab w:val="left" w:pos="9923"/>
        </w:tabs>
        <w:spacing w:after="0" w:line="240" w:lineRule="auto"/>
        <w:rPr>
          <w:bCs/>
          <w:sz w:val="20"/>
          <w:szCs w:val="20"/>
        </w:rPr>
      </w:pPr>
      <w:r w:rsidRPr="0016162D">
        <w:rPr>
          <w:bCs/>
          <w:sz w:val="20"/>
          <w:szCs w:val="20"/>
          <w:lang w:val="x-none"/>
        </w:rPr>
        <w:t xml:space="preserve">Załącznik </w:t>
      </w:r>
      <w:r>
        <w:rPr>
          <w:bCs/>
          <w:sz w:val="20"/>
          <w:szCs w:val="20"/>
        </w:rPr>
        <w:t xml:space="preserve">nr </w:t>
      </w:r>
      <w:r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</w:t>
      </w:r>
      <w:r w:rsidRPr="0016162D">
        <w:rPr>
          <w:bCs/>
          <w:sz w:val="20"/>
          <w:szCs w:val="20"/>
        </w:rPr>
        <w:t>do</w:t>
      </w:r>
      <w:r w:rsidRPr="0016162D">
        <w:rPr>
          <w:bCs/>
          <w:sz w:val="20"/>
          <w:szCs w:val="20"/>
          <w:lang w:val="x-none"/>
        </w:rPr>
        <w:t xml:space="preserve"> </w:t>
      </w:r>
      <w:r>
        <w:rPr>
          <w:bCs/>
          <w:sz w:val="20"/>
          <w:szCs w:val="20"/>
        </w:rPr>
        <w:t>uchwały  nr 21/2022</w:t>
      </w:r>
    </w:p>
    <w:p w14:paraId="77D84EF7" w14:textId="77777777" w:rsidR="007337DE" w:rsidRDefault="007337DE" w:rsidP="007337DE">
      <w:pPr>
        <w:tabs>
          <w:tab w:val="left" w:pos="9923"/>
        </w:tabs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KM RPO WK-P na lata 2014-2020</w:t>
      </w:r>
    </w:p>
    <w:p w14:paraId="405A41F5" w14:textId="77777777" w:rsidR="007337DE" w:rsidRPr="00D33761" w:rsidRDefault="007337DE" w:rsidP="007337DE">
      <w:pPr>
        <w:tabs>
          <w:tab w:val="left" w:pos="9923"/>
        </w:tabs>
        <w:spacing w:after="0" w:line="240" w:lineRule="auto"/>
        <w:rPr>
          <w:bCs/>
          <w:sz w:val="20"/>
          <w:szCs w:val="20"/>
        </w:rPr>
      </w:pPr>
      <w:r w:rsidRPr="0016162D">
        <w:rPr>
          <w:bCs/>
          <w:sz w:val="20"/>
          <w:szCs w:val="20"/>
        </w:rPr>
        <w:t xml:space="preserve">z dnia </w:t>
      </w:r>
      <w:r>
        <w:rPr>
          <w:bCs/>
          <w:sz w:val="20"/>
          <w:szCs w:val="20"/>
        </w:rPr>
        <w:t xml:space="preserve">19 grudnia </w:t>
      </w:r>
      <w:r w:rsidRPr="001E23BF">
        <w:rPr>
          <w:bCs/>
          <w:sz w:val="20"/>
          <w:szCs w:val="20"/>
        </w:rPr>
        <w:t xml:space="preserve"> 2022 r.</w:t>
      </w:r>
    </w:p>
    <w:p w14:paraId="4CB16EE0" w14:textId="77777777" w:rsidR="00E81E13" w:rsidRDefault="00E81E13" w:rsidP="00AF7E09">
      <w:pPr>
        <w:pStyle w:val="Nagwek2"/>
        <w:spacing w:line="360" w:lineRule="auto"/>
        <w:ind w:right="1" w:firstLine="0"/>
        <w:rPr>
          <w:rFonts w:asciiTheme="minorHAnsi" w:hAnsiTheme="minorHAnsi"/>
          <w:sz w:val="24"/>
          <w:u w:val="single"/>
        </w:rPr>
      </w:pPr>
    </w:p>
    <w:p w14:paraId="4DF7675C" w14:textId="77777777" w:rsidR="00BA31B8" w:rsidRPr="00BA31B8" w:rsidRDefault="000E32B0" w:rsidP="00BA31B8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 w:rsidRPr="000E32B0">
        <w:rPr>
          <w:rFonts w:asciiTheme="minorHAnsi" w:hAnsiTheme="minorHAnsi"/>
          <w:bCs/>
          <w:sz w:val="24"/>
          <w:u w:val="single"/>
        </w:rPr>
        <w:t>Definicje wskaźników produktu i rezultatu.</w:t>
      </w:r>
    </w:p>
    <w:p w14:paraId="2745020D" w14:textId="77777777" w:rsidR="00BA31B8" w:rsidRDefault="00BA31B8" w:rsidP="000E32B0">
      <w:pPr>
        <w:spacing w:after="0" w:line="240" w:lineRule="auto"/>
        <w:ind w:right="-1559"/>
        <w:jc w:val="both"/>
        <w:rPr>
          <w:rFonts w:asciiTheme="minorHAnsi" w:hAnsiTheme="minorHAnsi"/>
          <w:b/>
        </w:rPr>
      </w:pPr>
    </w:p>
    <w:p w14:paraId="0802B71F" w14:textId="77777777" w:rsidR="00197360" w:rsidRPr="00FA4037" w:rsidRDefault="00197360" w:rsidP="00197360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13.3 </w:t>
      </w:r>
      <w:r w:rsidRPr="00D33761">
        <w:rPr>
          <w:sz w:val="24"/>
          <w:szCs w:val="24"/>
        </w:rPr>
        <w:t>Efektywność energetyczna w sektorze publicznym</w:t>
      </w:r>
    </w:p>
    <w:p w14:paraId="6B37E5B8" w14:textId="77777777" w:rsidR="00197360" w:rsidRDefault="00197360" w:rsidP="00197360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Poddziałanie:</w:t>
      </w:r>
      <w:r w:rsidRPr="008F4F2E">
        <w:rPr>
          <w:sz w:val="24"/>
          <w:szCs w:val="24"/>
        </w:rPr>
        <w:t xml:space="preserve">  n/d</w:t>
      </w:r>
    </w:p>
    <w:p w14:paraId="5A74AC4B" w14:textId="77777777" w:rsidR="00197360" w:rsidRDefault="00197360" w:rsidP="00197360">
      <w:pPr>
        <w:spacing w:after="0" w:line="240" w:lineRule="auto"/>
        <w:jc w:val="both"/>
        <w:rPr>
          <w:sz w:val="24"/>
          <w:szCs w:val="24"/>
        </w:rPr>
      </w:pPr>
      <w:r w:rsidRPr="008E7830"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</w:t>
      </w:r>
      <w:r w:rsidRPr="00D33761">
        <w:rPr>
          <w:sz w:val="24"/>
          <w:szCs w:val="24"/>
        </w:rPr>
        <w:t>13 Wspieranie kryzysowych działań naprawczych w kontekście pandemii COVID-19 i jej skutków społecznych oraz przygotowanie do ekologicznej i cyfrowej odbudowy gospodarki zwiększającej jej odporność</w:t>
      </w:r>
    </w:p>
    <w:p w14:paraId="49029B2D" w14:textId="77777777" w:rsidR="00197360" w:rsidRPr="004B031E" w:rsidRDefault="00197360" w:rsidP="00197360">
      <w:pPr>
        <w:spacing w:after="0" w:line="240" w:lineRule="auto"/>
        <w:jc w:val="both"/>
        <w:rPr>
          <w:sz w:val="24"/>
          <w:szCs w:val="24"/>
        </w:rPr>
      </w:pPr>
      <w:r w:rsidRPr="00193730">
        <w:rPr>
          <w:b/>
          <w:color w:val="000000"/>
          <w:sz w:val="24"/>
          <w:szCs w:val="24"/>
        </w:rPr>
        <w:t>Priorytet:</w:t>
      </w:r>
      <w:r w:rsidRPr="00193730">
        <w:rPr>
          <w:color w:val="000000"/>
          <w:sz w:val="24"/>
          <w:szCs w:val="24"/>
        </w:rPr>
        <w:t xml:space="preserve"> </w:t>
      </w:r>
      <w:r w:rsidRPr="00D33761">
        <w:rPr>
          <w:color w:val="000000"/>
          <w:sz w:val="24"/>
          <w:szCs w:val="24"/>
        </w:rPr>
        <w:t>13i  Wspieranie kryzysowych działań naprawczych w kontekście pandemii COVID-19 i jej skutków społecznych oraz przygotowanie do ekologicznej i cyfrowej odbudowy gospodarki zwiększającej jej odporność</w:t>
      </w:r>
    </w:p>
    <w:p w14:paraId="0407F6B3" w14:textId="77777777" w:rsidR="00197360" w:rsidRDefault="00197360" w:rsidP="00197360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</w:t>
      </w:r>
      <w:r w:rsidRPr="00D33761">
        <w:rPr>
          <w:sz w:val="24"/>
          <w:szCs w:val="24"/>
        </w:rPr>
        <w:t>Wspieranie efektywności energetycznej, inteligentnego zarządzania energią i wykorzystywania odnawialnych źródeł energii w  budynkach publicznych</w:t>
      </w:r>
    </w:p>
    <w:p w14:paraId="408FF357" w14:textId="77777777" w:rsidR="00197360" w:rsidRDefault="00197360" w:rsidP="0019736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E5249">
        <w:rPr>
          <w:b/>
          <w:sz w:val="24"/>
          <w:szCs w:val="24"/>
        </w:rPr>
        <w:t xml:space="preserve">Schemat: </w:t>
      </w:r>
      <w:r>
        <w:rPr>
          <w:sz w:val="24"/>
          <w:szCs w:val="24"/>
        </w:rPr>
        <w:t>Mikroinstalacje</w:t>
      </w:r>
      <w:r w:rsidRPr="00D33761">
        <w:rPr>
          <w:sz w:val="24"/>
          <w:szCs w:val="24"/>
        </w:rPr>
        <w:t xml:space="preserve"> – budynki użyteczności publicznej</w:t>
      </w:r>
    </w:p>
    <w:p w14:paraId="43C8322D" w14:textId="77777777" w:rsidR="00CB02FA" w:rsidRDefault="00CB02FA" w:rsidP="000E32B0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658"/>
        <w:gridCol w:w="1519"/>
        <w:gridCol w:w="4551"/>
      </w:tblGrid>
      <w:tr w:rsidR="00CB02FA" w:rsidRPr="000E32B0" w14:paraId="1E4B1425" w14:textId="77777777" w:rsidTr="00CB600C">
        <w:trPr>
          <w:trHeight w:val="484"/>
        </w:trPr>
        <w:tc>
          <w:tcPr>
            <w:tcW w:w="0" w:type="auto"/>
            <w:shd w:val="clear" w:color="auto" w:fill="F2F2F2"/>
            <w:vAlign w:val="center"/>
          </w:tcPr>
          <w:p w14:paraId="7239C88E" w14:textId="77777777"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DCFD21E" w14:textId="77777777"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Nazwa wskaźnika</w:t>
            </w:r>
          </w:p>
        </w:tc>
        <w:tc>
          <w:tcPr>
            <w:tcW w:w="1519" w:type="dxa"/>
            <w:shd w:val="clear" w:color="auto" w:fill="F2F2F2"/>
            <w:vAlign w:val="center"/>
          </w:tcPr>
          <w:p w14:paraId="18BC9D58" w14:textId="77777777"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Jednostka miary</w:t>
            </w:r>
          </w:p>
        </w:tc>
        <w:tc>
          <w:tcPr>
            <w:tcW w:w="4551" w:type="dxa"/>
            <w:shd w:val="clear" w:color="auto" w:fill="F2F2F2"/>
            <w:vAlign w:val="center"/>
          </w:tcPr>
          <w:p w14:paraId="16ED07A5" w14:textId="77777777"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Definicja</w:t>
            </w:r>
          </w:p>
        </w:tc>
      </w:tr>
      <w:tr w:rsidR="00683050" w:rsidRPr="000E32B0" w14:paraId="48B2A36E" w14:textId="77777777" w:rsidTr="000E32B0">
        <w:trPr>
          <w:trHeight w:val="535"/>
        </w:trPr>
        <w:tc>
          <w:tcPr>
            <w:tcW w:w="9214" w:type="dxa"/>
            <w:gridSpan w:val="4"/>
            <w:shd w:val="clear" w:color="auto" w:fill="F2F2F2"/>
            <w:vAlign w:val="center"/>
          </w:tcPr>
          <w:p w14:paraId="415082B1" w14:textId="77777777" w:rsidR="00683050" w:rsidRPr="000E32B0" w:rsidRDefault="00683050" w:rsidP="000E32B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Wskaźnik rezultatu bezpośredniego</w:t>
            </w:r>
          </w:p>
        </w:tc>
      </w:tr>
      <w:tr w:rsidR="00973557" w:rsidRPr="000E32B0" w14:paraId="454268EA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083498B8" w14:textId="77777777" w:rsidR="00973557" w:rsidRDefault="00973557" w:rsidP="0097355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4D37194" w14:textId="77777777" w:rsidR="00973557" w:rsidRPr="00A139A2" w:rsidRDefault="00973557" w:rsidP="00973557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Dodatkowa zdolność wytwarzania energii elektrycznej ze źródeł odnawialnych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1EB93773" w14:textId="77777777" w:rsidR="00973557" w:rsidRPr="00790ED5" w:rsidRDefault="00973557" w:rsidP="00973557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MWe</w:t>
            </w:r>
            <w:proofErr w:type="spellEnd"/>
          </w:p>
        </w:tc>
        <w:tc>
          <w:tcPr>
            <w:tcW w:w="4551" w:type="dxa"/>
            <w:shd w:val="clear" w:color="auto" w:fill="FFFFFF"/>
            <w:vAlign w:val="center"/>
          </w:tcPr>
          <w:p w14:paraId="4290F3D8" w14:textId="77777777" w:rsidR="00973557" w:rsidRDefault="00973557" w:rsidP="00973557">
            <w:pPr>
              <w:spacing w:before="120" w:after="120" w:line="240" w:lineRule="auto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Zwiększenie zdolności produkcyjnych energii elektrycznej przez urządzenia wykorzystujące odnawialne źródła energii, zbudowane/przebudowane w ramach projektu.</w:t>
            </w:r>
          </w:p>
          <w:p w14:paraId="4DE780BB" w14:textId="77777777" w:rsidR="00B1519A" w:rsidRPr="00790ED5" w:rsidRDefault="00B1519A" w:rsidP="00973557">
            <w:pPr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 xml:space="preserve">Wskaźnik dotyczy mocy zainstalowanej </w:t>
            </w:r>
            <w:r>
              <w:rPr>
                <w:rFonts w:asciiTheme="minorHAnsi" w:hAnsiTheme="minorHAnsi"/>
              </w:rPr>
              <w:br/>
              <w:t>w projekcie – wartości znamionowej mocy.</w:t>
            </w:r>
          </w:p>
        </w:tc>
      </w:tr>
      <w:tr w:rsidR="00973557" w:rsidRPr="000E32B0" w14:paraId="0EE0D56E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1FBFB0D3" w14:textId="77777777" w:rsidR="00973557" w:rsidRDefault="00973557" w:rsidP="0097355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7EF6400" w14:textId="77777777" w:rsidR="00973557" w:rsidRPr="00A139A2" w:rsidRDefault="00973557" w:rsidP="00973557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color w:val="auto"/>
              </w:rPr>
            </w:pPr>
            <w:r w:rsidRPr="00A139A2">
              <w:rPr>
                <w:rFonts w:asciiTheme="minorHAnsi" w:hAnsiTheme="minorHAnsi"/>
                <w:color w:val="auto"/>
              </w:rPr>
              <w:t>Dodatkowa zdolność wytwarzania energii cieplnej ze źródeł odnawialnych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55DC0334" w14:textId="77777777" w:rsidR="00973557" w:rsidRPr="00790ED5" w:rsidRDefault="00973557" w:rsidP="0097355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>
              <w:t>MWt</w:t>
            </w:r>
            <w:proofErr w:type="spellEnd"/>
          </w:p>
        </w:tc>
        <w:tc>
          <w:tcPr>
            <w:tcW w:w="4551" w:type="dxa"/>
            <w:shd w:val="clear" w:color="auto" w:fill="FFFFFF"/>
            <w:vAlign w:val="center"/>
          </w:tcPr>
          <w:p w14:paraId="7473CC5C" w14:textId="77777777" w:rsidR="00973557" w:rsidRDefault="00973557" w:rsidP="00973557">
            <w:pPr>
              <w:spacing w:before="120" w:after="120" w:line="240" w:lineRule="auto"/>
              <w:jc w:val="both"/>
            </w:pPr>
            <w:r>
              <w:t>Zwiększenie zdolności produkcyjnych energii cieplnej przez urządzenia wykorzystujące odnawialne źródła energii, zbudowane/przebudowane w ramach projektu.</w:t>
            </w:r>
          </w:p>
          <w:p w14:paraId="1973E9E6" w14:textId="77777777" w:rsidR="00B1519A" w:rsidRPr="00790ED5" w:rsidRDefault="00B1519A" w:rsidP="00973557">
            <w:pPr>
              <w:spacing w:before="120" w:after="12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Wskaźnik dotyczy mocy zainstalowanej </w:t>
            </w:r>
            <w:r>
              <w:rPr>
                <w:rFonts w:asciiTheme="minorHAnsi" w:hAnsiTheme="minorHAnsi"/>
              </w:rPr>
              <w:br/>
              <w:t>w projekcie – wartości znamionowej mocy.</w:t>
            </w:r>
          </w:p>
        </w:tc>
      </w:tr>
      <w:tr w:rsidR="00683050" w:rsidRPr="000E32B0" w14:paraId="06753DAE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62688B44" w14:textId="77777777" w:rsidR="0068305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FB39348" w14:textId="77777777" w:rsidR="0068305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Produkcja energii elektrycznej z nowo wybudowanych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07261A5C" w14:textId="77777777" w:rsidR="0068305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MWhe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5BCDEFCC" w14:textId="77777777" w:rsidR="0068305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elektrycznej przez urządzenia wykorzystujące odnawialne źródła energii, powstałe w ramach projektu.</w:t>
            </w:r>
          </w:p>
        </w:tc>
      </w:tr>
      <w:tr w:rsidR="000E32B0" w:rsidRPr="000E32B0" w14:paraId="1F813E90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5ACBE425" w14:textId="77777777"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AFC5886" w14:textId="77777777"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 xml:space="preserve">Produkcja energii elektrycznej </w:t>
            </w:r>
            <w:r w:rsidR="00790ED5" w:rsidRPr="00A139A2">
              <w:rPr>
                <w:rFonts w:asciiTheme="minorHAnsi" w:hAnsiTheme="minorHAnsi"/>
                <w:color w:val="auto"/>
              </w:rPr>
              <w:br/>
            </w:r>
            <w:r w:rsidRPr="00A139A2">
              <w:rPr>
                <w:rFonts w:asciiTheme="minorHAnsi" w:hAnsiTheme="minorHAnsi"/>
                <w:color w:val="auto"/>
              </w:rPr>
              <w:t>z nowych mocy wytwórczych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1DDCFAE7" w14:textId="77777777"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MWhe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41922AD0" w14:textId="77777777" w:rsidR="000E32B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elektrycznej przez urządzenia wykorzystujące odnawialne źródła energii, rozbudowane/wyposażone w ramach projektu.</w:t>
            </w:r>
          </w:p>
        </w:tc>
      </w:tr>
      <w:tr w:rsidR="000E32B0" w:rsidRPr="000E32B0" w14:paraId="485F9C24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3C49DB5A" w14:textId="77777777"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870D8A5" w14:textId="77777777"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Produkcja energii cieplnej z nowo wybudowanych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1C3420B0" w14:textId="77777777"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MWht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16D6C566" w14:textId="77777777" w:rsidR="000E32B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cieplnej przez urządzenia wykorzystujące odnawialne źródła energii, powstałe w ramach projektu.</w:t>
            </w:r>
          </w:p>
        </w:tc>
      </w:tr>
      <w:tr w:rsidR="000E32B0" w:rsidRPr="000E32B0" w14:paraId="6A19B29C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16F5F2DD" w14:textId="77777777"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472BD55" w14:textId="77777777"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Produkcja energii cieplnej z nowych mocy wytwórczych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70D656CB" w14:textId="77777777"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MWht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69CC9FC2" w14:textId="77777777" w:rsidR="000E32B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cieplnej przez urządzenia wykorzystujące odnawialne źródła energii, rozbudowane/wyposażone w ramach projektu.</w:t>
            </w:r>
          </w:p>
        </w:tc>
      </w:tr>
      <w:tr w:rsidR="000E32B0" w:rsidRPr="000E32B0" w14:paraId="5808F78F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76E60267" w14:textId="77777777"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0F733A8" w14:textId="77777777"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Szacowany roczny spadek emisji gazów cieplarnianych (CI34)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5685B92E" w14:textId="77777777"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tony równoważnika CO</w:t>
            </w:r>
            <w:r w:rsidRPr="00FC69CE">
              <w:rPr>
                <w:rFonts w:asciiTheme="minorHAnsi" w:hAnsiTheme="minorHAnsi"/>
                <w:vertAlign w:val="subscript"/>
              </w:rPr>
              <w:t>2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631DEB02" w14:textId="77777777" w:rsidR="005D0158" w:rsidRPr="00790ED5" w:rsidRDefault="005D0158" w:rsidP="00DE2020">
            <w:pPr>
              <w:spacing w:before="120" w:after="120" w:line="240" w:lineRule="auto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Wskaźnik</w:t>
            </w:r>
            <w:r w:rsidR="00AB124E">
              <w:rPr>
                <w:rFonts w:asciiTheme="minorHAnsi" w:hAnsiTheme="minorHAnsi"/>
              </w:rPr>
              <w:t xml:space="preserve"> dotyczy redukcji </w:t>
            </w:r>
            <w:r w:rsidR="00AB124E" w:rsidRPr="00790ED5">
              <w:rPr>
                <w:rFonts w:asciiTheme="minorHAnsi" w:hAnsiTheme="minorHAnsi"/>
              </w:rPr>
              <w:t>CO</w:t>
            </w:r>
            <w:r w:rsidR="00AB124E" w:rsidRPr="00FC69CE">
              <w:rPr>
                <w:rFonts w:asciiTheme="minorHAnsi" w:hAnsiTheme="minorHAnsi"/>
                <w:vertAlign w:val="subscript"/>
              </w:rPr>
              <w:t>2</w:t>
            </w:r>
            <w:r w:rsidR="00AB124E">
              <w:rPr>
                <w:rFonts w:asciiTheme="minorHAnsi" w:hAnsiTheme="minorHAnsi"/>
                <w:vertAlign w:val="subscript"/>
              </w:rPr>
              <w:t xml:space="preserve"> </w:t>
            </w:r>
            <w:r w:rsidR="00AB124E">
              <w:rPr>
                <w:rFonts w:asciiTheme="minorHAnsi" w:hAnsiTheme="minorHAnsi"/>
              </w:rPr>
              <w:t>i</w:t>
            </w:r>
            <w:r w:rsidRPr="00790ED5">
              <w:rPr>
                <w:rFonts w:asciiTheme="minorHAnsi" w:hAnsiTheme="minorHAnsi"/>
              </w:rPr>
              <w:t xml:space="preserve"> mierzy łączny szacunkowy roczny spadek na koniec okresu, </w:t>
            </w:r>
            <w:r w:rsidR="00AB124E">
              <w:rPr>
                <w:rFonts w:asciiTheme="minorHAnsi" w:hAnsiTheme="minorHAnsi"/>
              </w:rPr>
              <w:br/>
            </w:r>
            <w:r w:rsidRPr="00790ED5">
              <w:rPr>
                <w:rFonts w:asciiTheme="minorHAnsi" w:hAnsiTheme="minorHAnsi"/>
              </w:rPr>
              <w:t>a nie całkowity spadek w całym okresie.</w:t>
            </w:r>
          </w:p>
          <w:p w14:paraId="0DCD88A4" w14:textId="77777777" w:rsidR="002C1BD8" w:rsidRDefault="002C1BD8" w:rsidP="00E61954">
            <w:pPr>
              <w:spacing w:after="60" w:line="240" w:lineRule="auto"/>
              <w:ind w:left="23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 xml:space="preserve">W przypadku projektów związanych </w:t>
            </w:r>
            <w:r w:rsidR="002E08D9">
              <w:rPr>
                <w:rFonts w:asciiTheme="minorHAnsi" w:hAnsiTheme="minorHAnsi"/>
              </w:rPr>
              <w:br/>
            </w:r>
            <w:r w:rsidRPr="002C1BD8">
              <w:rPr>
                <w:rFonts w:asciiTheme="minorHAnsi" w:hAnsiTheme="minorHAnsi"/>
              </w:rPr>
              <w:t xml:space="preserve">z energetyką odnawialną wskaźnik opiera się na produkcji energii we wspartych instalacjach. Zakłada się, że produkowana energia zastępuje energię produkowaną ze źródeł nieodnawialnych. </w:t>
            </w:r>
          </w:p>
          <w:p w14:paraId="20FFB80C" w14:textId="77777777" w:rsidR="002C1BD8" w:rsidRDefault="002C1BD8" w:rsidP="00E61954">
            <w:pPr>
              <w:spacing w:after="60" w:line="240" w:lineRule="auto"/>
              <w:ind w:left="23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 xml:space="preserve">Wartość wskaźnika należy oszacować wynikowo, w odniesieniu do mierników opisujących produkcję energii. Wykorzystać należy wartości docelowe wskaźników: </w:t>
            </w:r>
          </w:p>
          <w:p w14:paraId="0D446E3E" w14:textId="77777777" w:rsidR="00A751D9" w:rsidRDefault="00A751D9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A139A2">
              <w:rPr>
                <w:rFonts w:asciiTheme="minorHAnsi" w:hAnsiTheme="minorHAnsi"/>
              </w:rPr>
              <w:t xml:space="preserve">Produkcja energii elektrycznej </w:t>
            </w:r>
            <w:r>
              <w:rPr>
                <w:rFonts w:asciiTheme="minorHAnsi" w:hAnsiTheme="minorHAnsi"/>
              </w:rPr>
              <w:br/>
            </w:r>
            <w:r w:rsidRPr="00A139A2">
              <w:rPr>
                <w:rFonts w:asciiTheme="minorHAnsi" w:hAnsiTheme="minorHAnsi"/>
              </w:rPr>
              <w:t>z nowo wybudowanych instalacji wykorzystujących OZE</w:t>
            </w:r>
            <w:r>
              <w:rPr>
                <w:rFonts w:asciiTheme="minorHAnsi" w:hAnsiTheme="minorHAnsi"/>
              </w:rPr>
              <w:t>;</w:t>
            </w:r>
          </w:p>
          <w:p w14:paraId="1545F7C0" w14:textId="77777777" w:rsidR="002C1BD8" w:rsidRDefault="002C1BD8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 xml:space="preserve">Produkcja energii elektrycznej </w:t>
            </w:r>
            <w:r>
              <w:rPr>
                <w:rFonts w:asciiTheme="minorHAnsi" w:hAnsiTheme="minorHAnsi"/>
              </w:rPr>
              <w:br/>
            </w:r>
            <w:r w:rsidRPr="002C1BD8">
              <w:rPr>
                <w:rFonts w:asciiTheme="minorHAnsi" w:hAnsiTheme="minorHAnsi"/>
              </w:rPr>
              <w:t>z nowych mocy</w:t>
            </w:r>
            <w:r>
              <w:rPr>
                <w:rFonts w:asciiTheme="minorHAnsi" w:hAnsiTheme="minorHAnsi"/>
              </w:rPr>
              <w:t xml:space="preserve"> </w:t>
            </w:r>
            <w:r w:rsidRPr="002C1BD8">
              <w:rPr>
                <w:rFonts w:asciiTheme="minorHAnsi" w:hAnsiTheme="minorHAnsi"/>
              </w:rPr>
              <w:t>wytwórczych instalacji wykorzystujących OZE;</w:t>
            </w:r>
          </w:p>
          <w:p w14:paraId="383E2F35" w14:textId="77777777" w:rsidR="00A751D9" w:rsidRDefault="00A751D9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A139A2">
              <w:rPr>
                <w:rFonts w:asciiTheme="minorHAnsi" w:hAnsiTheme="minorHAnsi"/>
              </w:rPr>
              <w:t xml:space="preserve">Produkcja energii cieplnej </w:t>
            </w:r>
            <w:r>
              <w:rPr>
                <w:rFonts w:asciiTheme="minorHAnsi" w:hAnsiTheme="minorHAnsi"/>
              </w:rPr>
              <w:br/>
            </w:r>
            <w:r w:rsidRPr="00A139A2">
              <w:rPr>
                <w:rFonts w:asciiTheme="minorHAnsi" w:hAnsiTheme="minorHAnsi"/>
              </w:rPr>
              <w:t>z nowo wybudowanych instalacji wykorzystujących OZE</w:t>
            </w:r>
            <w:r>
              <w:rPr>
                <w:rFonts w:asciiTheme="minorHAnsi" w:hAnsiTheme="minorHAnsi"/>
              </w:rPr>
              <w:t>;</w:t>
            </w:r>
          </w:p>
          <w:p w14:paraId="44A5CF68" w14:textId="77777777" w:rsidR="002C1BD8" w:rsidRPr="002C1BD8" w:rsidRDefault="002C1BD8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>Produkcja energii cieplnej z nowych mocy</w:t>
            </w:r>
            <w:r>
              <w:rPr>
                <w:rFonts w:asciiTheme="minorHAnsi" w:hAnsiTheme="minorHAnsi"/>
              </w:rPr>
              <w:t xml:space="preserve"> </w:t>
            </w:r>
            <w:r w:rsidRPr="002C1BD8">
              <w:rPr>
                <w:rFonts w:asciiTheme="minorHAnsi" w:hAnsiTheme="minorHAnsi"/>
              </w:rPr>
              <w:t>wytwórczych instalacji wykorzystujących OZE.</w:t>
            </w:r>
          </w:p>
          <w:p w14:paraId="2812A9BE" w14:textId="77777777" w:rsidR="005D0158" w:rsidRPr="00790ED5" w:rsidRDefault="005D0158" w:rsidP="00E61954">
            <w:pPr>
              <w:spacing w:after="60" w:line="240" w:lineRule="auto"/>
              <w:ind w:left="23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 xml:space="preserve">Następnie </w:t>
            </w:r>
            <w:r w:rsidRPr="00790ED5">
              <w:rPr>
                <w:rFonts w:asciiTheme="minorHAnsi" w:hAnsiTheme="minorHAnsi"/>
                <w:u w:val="single"/>
              </w:rPr>
              <w:t>wartości docelowe obydwu wskaźników należy przemnożyć przez odpowiednie współczynniki emisyjności</w:t>
            </w:r>
            <w:r w:rsidRPr="00790ED5">
              <w:rPr>
                <w:rFonts w:asciiTheme="minorHAnsi" w:hAnsiTheme="minorHAnsi"/>
                <w:vertAlign w:val="superscript"/>
              </w:rPr>
              <w:t>*</w:t>
            </w:r>
            <w:r w:rsidRPr="00790ED5">
              <w:rPr>
                <w:rFonts w:asciiTheme="minorHAnsi" w:hAnsiTheme="minorHAnsi"/>
              </w:rPr>
              <w:t>:</w:t>
            </w:r>
          </w:p>
          <w:p w14:paraId="6F069325" w14:textId="77777777" w:rsidR="00242D5C" w:rsidRPr="00790ED5" w:rsidRDefault="005D0158" w:rsidP="002C1B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901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0,812 Mg CO</w:t>
            </w:r>
            <w:r w:rsidRPr="00780D47">
              <w:rPr>
                <w:rFonts w:asciiTheme="minorHAnsi" w:hAnsiTheme="minorHAnsi"/>
                <w:vertAlign w:val="subscript"/>
              </w:rPr>
              <w:t>2</w:t>
            </w:r>
            <w:r w:rsidRPr="00790ED5">
              <w:rPr>
                <w:rFonts w:asciiTheme="minorHAnsi" w:hAnsiTheme="minorHAnsi"/>
              </w:rPr>
              <w:t>/MWh w pr</w:t>
            </w:r>
            <w:r w:rsidR="00242D5C" w:rsidRPr="00790ED5">
              <w:rPr>
                <w:rFonts w:asciiTheme="minorHAnsi" w:hAnsiTheme="minorHAnsi"/>
              </w:rPr>
              <w:t>zypadku energii elektrycznej;</w:t>
            </w:r>
          </w:p>
          <w:p w14:paraId="6A47EA53" w14:textId="77777777" w:rsidR="005D0158" w:rsidRPr="00FB03DE" w:rsidRDefault="005D0158" w:rsidP="002C1BD8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left="901" w:hanging="357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0,3 Mg CO</w:t>
            </w:r>
            <w:r w:rsidRPr="00780D47">
              <w:rPr>
                <w:rFonts w:asciiTheme="minorHAnsi" w:hAnsiTheme="minorHAnsi"/>
                <w:vertAlign w:val="subscript"/>
              </w:rPr>
              <w:t>2</w:t>
            </w:r>
            <w:r w:rsidRPr="00790ED5">
              <w:rPr>
                <w:rFonts w:asciiTheme="minorHAnsi" w:hAnsiTheme="minorHAnsi"/>
              </w:rPr>
              <w:t>/MWh w przypadku energii cieplnej.</w:t>
            </w:r>
          </w:p>
          <w:p w14:paraId="63F563F7" w14:textId="77777777" w:rsidR="005D0158" w:rsidRPr="00790ED5" w:rsidRDefault="005D0158" w:rsidP="00DE202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  <w:vertAlign w:val="superscript"/>
              </w:rPr>
              <w:t>*</w:t>
            </w:r>
            <w:r w:rsidRPr="00563654">
              <w:rPr>
                <w:rFonts w:asciiTheme="minorHAnsi" w:hAnsiTheme="minorHAnsi"/>
                <w:sz w:val="18"/>
                <w:szCs w:val="18"/>
              </w:rPr>
              <w:t>Współczynniki przyjęto zgodnie z wytycznymi Krajowego Ośrodka Bilansowania i Zarządzania Emisjami (energia elektryczna – współczynnik referencyjny dla KSE, energia cieplna – współczynnik dla ciepła sieciowego).</w:t>
            </w:r>
          </w:p>
        </w:tc>
      </w:tr>
      <w:tr w:rsidR="000E32B0" w:rsidRPr="000E32B0" w14:paraId="17146873" w14:textId="77777777" w:rsidTr="000E32B0">
        <w:trPr>
          <w:trHeight w:val="535"/>
        </w:trPr>
        <w:tc>
          <w:tcPr>
            <w:tcW w:w="9214" w:type="dxa"/>
            <w:gridSpan w:val="4"/>
            <w:shd w:val="clear" w:color="auto" w:fill="F2F2F2"/>
            <w:vAlign w:val="center"/>
          </w:tcPr>
          <w:p w14:paraId="6B0E1A50" w14:textId="77777777" w:rsidR="000E32B0" w:rsidRPr="000E32B0" w:rsidRDefault="000E32B0" w:rsidP="000E32B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Wskaźnik produktu</w:t>
            </w:r>
          </w:p>
        </w:tc>
      </w:tr>
      <w:tr w:rsidR="000E32B0" w:rsidRPr="000E32B0" w14:paraId="71646E96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04F7C126" w14:textId="77777777"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FB97937" w14:textId="77777777" w:rsidR="000E32B0" w:rsidRPr="00A139A2" w:rsidRDefault="003264DD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wybudowanych jednostek wytwarzania energii elektrycznej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796C0579" w14:textId="77777777" w:rsidR="000E32B0" w:rsidRPr="000E32B0" w:rsidRDefault="003264DD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401AF2A3" w14:textId="77777777"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wybudowanych jednostek wytwarzania energii elektrycznej </w:t>
            </w:r>
            <w:r>
              <w:br/>
              <w:t>z OZE w wyniku realizacji projektu.</w:t>
            </w:r>
          </w:p>
          <w:p w14:paraId="64DB1E78" w14:textId="77777777" w:rsidR="003264DD" w:rsidRDefault="003264DD" w:rsidP="00FD1DCA">
            <w:pPr>
              <w:spacing w:after="0" w:line="240" w:lineRule="auto"/>
              <w:jc w:val="both"/>
            </w:pPr>
            <w:r>
              <w:t xml:space="preserve">Wybudowana jednostka wytwarzania energii elektrycznej obejmuje: </w:t>
            </w:r>
          </w:p>
          <w:p w14:paraId="452CD7D5" w14:textId="77777777" w:rsidR="00A51E92" w:rsidRPr="00A51E92" w:rsidRDefault="003264DD" w:rsidP="00780D4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eastAsia="Times New Roman" w:hAnsiTheme="minorHAnsi"/>
                <w:lang w:eastAsia="pl-P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elektrycznej z OZE.</w:t>
            </w:r>
          </w:p>
          <w:p w14:paraId="6460D1FB" w14:textId="77777777" w:rsidR="00A51E92" w:rsidRPr="00A51E92" w:rsidRDefault="00A51E92" w:rsidP="00DE2020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lang w:eastAsia="pl-PL"/>
              </w:rPr>
            </w:pPr>
            <w:r w:rsidRPr="002E08D9">
              <w:rPr>
                <w:u w:val="single"/>
              </w:rPr>
              <w:t>Odnawialne źródło energii</w:t>
            </w:r>
            <w:r w:rsidRPr="002E08D9">
              <w:t xml:space="preserve"> (zgodnie z ustawą </w:t>
            </w:r>
            <w:r w:rsidR="00FB03DE" w:rsidRPr="002E08D9">
              <w:br/>
            </w:r>
            <w:r w:rsidRPr="002E08D9">
              <w:t>z dnia 20 lutego 2015 r</w:t>
            </w:r>
            <w:r w:rsidRPr="00A51E92">
              <w:t>. o odnawialnych źródłach energii)</w:t>
            </w:r>
            <w:r>
              <w:t xml:space="preserve"> – odnawialne, niekopalne źródła energii obejmujące energię wiatru, energię promieniowania słonecznego, energię </w:t>
            </w:r>
            <w:proofErr w:type="spellStart"/>
            <w:r>
              <w:t>aerotermalną</w:t>
            </w:r>
            <w:proofErr w:type="spellEnd"/>
            <w:r>
              <w:t xml:space="preserve">, energię geotermalną, energię hydrotermalną, hydroenergię, energię fal, prądów i pływów morskich, energię otrzymywaną z biomasy, biogazu, biogazu rolniczego oraz z </w:t>
            </w:r>
            <w:proofErr w:type="spellStart"/>
            <w:r>
              <w:t>biopłynów</w:t>
            </w:r>
            <w:proofErr w:type="spellEnd"/>
            <w:r>
              <w:t>.</w:t>
            </w:r>
          </w:p>
        </w:tc>
      </w:tr>
      <w:tr w:rsidR="000E32B0" w:rsidRPr="000E32B0" w14:paraId="41AB5D71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34F3599E" w14:textId="77777777"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C1D63D" w14:textId="77777777" w:rsidR="000E32B0" w:rsidRPr="00A139A2" w:rsidRDefault="00563654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przebudowanych jednostek wytwarzania energii elektrycznej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0544EC2F" w14:textId="77777777" w:rsidR="000E32B0" w:rsidRPr="000E32B0" w:rsidRDefault="00563654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40256AAA" w14:textId="77777777"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przebudowanych jednostek wytwarzania energii elektrycznej </w:t>
            </w:r>
            <w:r>
              <w:br/>
              <w:t>z OZE w wyniku realizacji projektu.</w:t>
            </w:r>
          </w:p>
          <w:p w14:paraId="7679E04F" w14:textId="77777777" w:rsidR="00563654" w:rsidRDefault="00563654" w:rsidP="00FD1DCA">
            <w:pPr>
              <w:spacing w:after="0" w:line="240" w:lineRule="auto"/>
              <w:jc w:val="both"/>
            </w:pPr>
            <w:r>
              <w:t xml:space="preserve">Przebudowana jednostka wytwarzania energii elektrycznej obejmuje: </w:t>
            </w:r>
          </w:p>
          <w:p w14:paraId="3C9F2DC3" w14:textId="77777777" w:rsidR="000E32B0" w:rsidRPr="00563654" w:rsidRDefault="00563654" w:rsidP="00DE2020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hAnsiTheme="minorHAnsi" w:cs="Aria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elektrycznej z OZE.</w:t>
            </w:r>
          </w:p>
        </w:tc>
      </w:tr>
      <w:tr w:rsidR="000E32B0" w:rsidRPr="000E32B0" w14:paraId="24502981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662C9C74" w14:textId="77777777"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87AF744" w14:textId="77777777" w:rsidR="000E32B0" w:rsidRPr="00A139A2" w:rsidRDefault="003F7E2A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wybudowanych jednostek wytwarzania energii cieplnej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006CBF7A" w14:textId="77777777" w:rsidR="000E32B0" w:rsidRPr="000E32B0" w:rsidRDefault="003F7E2A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66FA61A4" w14:textId="77777777"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wybudowanych jednostek wytwarzania energii cieplnej z OZE </w:t>
            </w:r>
            <w:r>
              <w:br/>
              <w:t>w wyniku realizacji projektu.</w:t>
            </w:r>
          </w:p>
          <w:p w14:paraId="2E80C4DF" w14:textId="77777777" w:rsidR="003F7E2A" w:rsidRDefault="003F7E2A" w:rsidP="00FD1DCA">
            <w:pPr>
              <w:spacing w:after="0" w:line="240" w:lineRule="auto"/>
              <w:jc w:val="both"/>
            </w:pPr>
            <w:r>
              <w:t>Wybudowana jednostka wytwarzania energii cieplnej obejmuje:</w:t>
            </w:r>
          </w:p>
          <w:p w14:paraId="1D0D5A5B" w14:textId="77777777" w:rsidR="000E32B0" w:rsidRPr="003F7E2A" w:rsidRDefault="003F7E2A" w:rsidP="00DE2020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hAnsiTheme="minorHAnsi" w:cs="Aria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cieplnej z OZE.</w:t>
            </w:r>
          </w:p>
        </w:tc>
      </w:tr>
      <w:tr w:rsidR="000E32B0" w:rsidRPr="000E32B0" w14:paraId="7E055A3D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3255088A" w14:textId="77777777"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3356556" w14:textId="77777777" w:rsidR="000E32B0" w:rsidRPr="00A139A2" w:rsidRDefault="00AE602C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przebudowanych jednostek wytwarzania energii cieplnej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327D477F" w14:textId="77777777" w:rsidR="000E32B0" w:rsidRPr="000E32B0" w:rsidRDefault="00AE602C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0B2C8FE9" w14:textId="77777777"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przebudowanych jednostek wytwarzania energii cieplnej z OZE </w:t>
            </w:r>
            <w:r>
              <w:br/>
              <w:t>w wyniku realizacji projektu.</w:t>
            </w:r>
          </w:p>
          <w:p w14:paraId="47998DAC" w14:textId="77777777" w:rsidR="00AE602C" w:rsidRDefault="00AE602C" w:rsidP="00FD1DCA">
            <w:pPr>
              <w:spacing w:after="0" w:line="240" w:lineRule="auto"/>
              <w:jc w:val="both"/>
            </w:pPr>
            <w:r>
              <w:t>Przebudowana jednostka wytwarzania energii cieplnej obejmuje:</w:t>
            </w:r>
          </w:p>
          <w:p w14:paraId="68DCE9E1" w14:textId="77777777" w:rsidR="000E32B0" w:rsidRPr="00AE602C" w:rsidRDefault="00AE602C" w:rsidP="002E08D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hAnsiTheme="minorHAnsi" w:cs="Arial"/>
              </w:rPr>
            </w:pPr>
            <w:r>
              <w:t xml:space="preserve">w przypadku budynków mieszkalnych </w:t>
            </w:r>
            <w:r>
              <w:br/>
              <w:t xml:space="preserve">i budynków użyteczności publicznej: zespół </w:t>
            </w:r>
            <w:r>
              <w:lastRenderedPageBreak/>
              <w:t>urządzeń służących do wytwarzania energii cieplnej z OZE.</w:t>
            </w:r>
          </w:p>
        </w:tc>
      </w:tr>
      <w:tr w:rsidR="00BA31B8" w:rsidRPr="000E32B0" w14:paraId="48908F2F" w14:textId="77777777" w:rsidTr="00BA31B8">
        <w:trPr>
          <w:trHeight w:val="575"/>
        </w:trPr>
        <w:tc>
          <w:tcPr>
            <w:tcW w:w="9214" w:type="dxa"/>
            <w:gridSpan w:val="4"/>
            <w:shd w:val="clear" w:color="auto" w:fill="F2F2F2" w:themeFill="background1" w:themeFillShade="F2"/>
            <w:vAlign w:val="center"/>
          </w:tcPr>
          <w:p w14:paraId="2E63DFE1" w14:textId="77777777" w:rsidR="00BA31B8" w:rsidRPr="000E32B0" w:rsidRDefault="00BA31B8" w:rsidP="00BA31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lastRenderedPageBreak/>
              <w:t>Horyzontalny wskaźnik produktu</w:t>
            </w:r>
          </w:p>
        </w:tc>
      </w:tr>
      <w:tr w:rsidR="00197360" w:rsidRPr="000E32B0" w14:paraId="41040FC8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6CD1CCBF" w14:textId="0F0378AB" w:rsidR="00197360" w:rsidRDefault="00197360" w:rsidP="0019736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F763D"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7A8B0F3" w14:textId="0CBE1B36" w:rsidR="00197360" w:rsidRPr="00A139A2" w:rsidRDefault="00197360" w:rsidP="00197360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1F763D">
              <w:rPr>
                <w:rFonts w:ascii="Calibri" w:hAnsi="Calibri"/>
                <w:color w:val="auto"/>
              </w:rPr>
              <w:t>Liczba obiektów dostosowanych do potrzeb osób z niepełnosprawnościami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2D9933F8" w14:textId="073D448B" w:rsidR="00197360" w:rsidRPr="000E32B0" w:rsidRDefault="00197360" w:rsidP="0019736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1554212B" w14:textId="77777777" w:rsidR="00197360" w:rsidRDefault="00197360" w:rsidP="00197360">
            <w:pPr>
              <w:spacing w:before="120" w:after="120" w:line="240" w:lineRule="auto"/>
              <w:jc w:val="both"/>
            </w:pPr>
            <w:r>
              <w:t xml:space="preserve">Wskaźnik odnosi się do liczby obiektów, które zaopatrzono w specjalne podjazdy, windy, urządzenia głośnomówiące, bądź inne rozwiązania umożliwiające dostęp (tj. usunięcie barier w dostępie, w szczególności barier architektonicznych) do tych obiektów </w:t>
            </w:r>
            <w:r>
              <w:br/>
              <w:t xml:space="preserve">i poruszanie się po nich osobom </w:t>
            </w:r>
            <w:r>
              <w:br/>
              <w:t xml:space="preserve">z niepełnosprawnościami ruchowymi czy sensorycznymi. Jako obiekty budowlane należy rozumieć konstrukcje połączone z gruntem </w:t>
            </w:r>
            <w:r>
              <w:br/>
              <w:t>w sposób trwały, wykonane z materiałów budowlanych i elementów składowych, będące wynikiem prac budowlanych.</w:t>
            </w:r>
          </w:p>
          <w:p w14:paraId="5A6DCAA5" w14:textId="57892DEF" w:rsidR="00197360" w:rsidRPr="000E32B0" w:rsidRDefault="00197360" w:rsidP="0019736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 xml:space="preserve">Należy podać liczbę obiektów, w których zastosowano rozwiązania umożliwiające dostęp osobom z niepełnosprawnościami ruchowymi czy sensorycznymi lub zaopatrzonych w sprzęt, </w:t>
            </w:r>
            <w:r>
              <w:br/>
              <w:t xml:space="preserve">a nie liczbę sprzętów, urządzeń itp. Jeśli instytucja, zakład itp. składa się z kilku obiektów, należy zliczyć wszystkie, które dostosowano do potrzeb osób </w:t>
            </w:r>
            <w:r>
              <w:br/>
              <w:t xml:space="preserve">z niepełnosprawnościami. Wskaźnik mierzony </w:t>
            </w:r>
            <w:r>
              <w:br/>
              <w:t xml:space="preserve">w momencie rozliczenia wydatku związanego </w:t>
            </w:r>
            <w:r>
              <w:br/>
              <w:t xml:space="preserve">z dostosowaniem obiektów do potrzeb osób </w:t>
            </w:r>
            <w:r>
              <w:br/>
              <w:t>z niepełnosprawnościami w ramach danego projektu</w:t>
            </w:r>
            <w:r>
              <w:rPr>
                <w:rStyle w:val="Odwoanieprzypisudolnego"/>
              </w:rPr>
              <w:footnoteReference w:id="1"/>
            </w:r>
            <w:r>
              <w:t>.</w:t>
            </w:r>
          </w:p>
        </w:tc>
      </w:tr>
      <w:tr w:rsidR="00197360" w:rsidRPr="000E32B0" w14:paraId="22F0FE60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53DE3E73" w14:textId="7E32EE1F" w:rsidR="00197360" w:rsidRDefault="00197360" w:rsidP="0019736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F763D"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00EB6F8" w14:textId="51762D71" w:rsidR="00197360" w:rsidRPr="00A139A2" w:rsidRDefault="00197360" w:rsidP="00197360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1F763D">
              <w:rPr>
                <w:rFonts w:ascii="Calibri" w:hAnsi="Calibri"/>
                <w:color w:val="auto"/>
              </w:rPr>
              <w:t>Liczba osób objętych szkoleniami / doradztwem w zakresie kompetencji cyfrowych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1F8DFEDE" w14:textId="2928EB34" w:rsidR="00197360" w:rsidRPr="000E32B0" w:rsidRDefault="00197360" w:rsidP="0019736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osoby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59DFD9CD" w14:textId="77777777" w:rsidR="00197360" w:rsidRDefault="00197360" w:rsidP="00197360">
            <w:pPr>
              <w:spacing w:before="120" w:after="120" w:line="240" w:lineRule="auto"/>
              <w:jc w:val="both"/>
            </w:pPr>
            <w:r>
              <w:t xml:space="preserve">Wskaźnik mierzy liczbę osób objętych szkoleniami/doradztwem w zakresie nabywania/doskonalenia umiejętności warunkujących efektywne korzystanie z mediów elektronicznych, tj. m.in. korzystania </w:t>
            </w:r>
            <w:r>
              <w:br/>
              <w:t xml:space="preserve">z komputera, różnych rodzajów oprogramowania, </w:t>
            </w:r>
            <w:proofErr w:type="spellStart"/>
            <w:r>
              <w:t>internetu</w:t>
            </w:r>
            <w:proofErr w:type="spellEnd"/>
            <w:r>
              <w:t xml:space="preserve"> oraz kompetencji ściśle informatycznych (np. programowanie, zarządzanie bazami danych, administracja sieciami, administracja witrynami internetowymi).</w:t>
            </w:r>
          </w:p>
          <w:p w14:paraId="6F120FB1" w14:textId="7BB36237" w:rsidR="00197360" w:rsidRPr="000E32B0" w:rsidRDefault="00197360" w:rsidP="0019736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 xml:space="preserve">Wskaźnik ma agregować wszystkie osoby, które skorzystały ze wsparcia w zakresie TIK we wszystkich programach i projektach, także tych, gdzie szkolenie dotyczy obsługi specyficznego systemu teleinformatycznego, którego </w:t>
            </w:r>
            <w:r>
              <w:lastRenderedPageBreak/>
              <w:t>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inwestycyjnych.</w:t>
            </w:r>
          </w:p>
        </w:tc>
      </w:tr>
      <w:tr w:rsidR="00197360" w:rsidRPr="000E32B0" w14:paraId="0C5DFFE3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125B7322" w14:textId="42F29A45" w:rsidR="00197360" w:rsidRDefault="00197360" w:rsidP="0019736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F763D"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95C930D" w14:textId="783075B2" w:rsidR="00197360" w:rsidRPr="00A139A2" w:rsidRDefault="00197360" w:rsidP="00197360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1F763D">
              <w:rPr>
                <w:rFonts w:ascii="Calibri" w:hAnsi="Calibri"/>
                <w:color w:val="auto"/>
              </w:rPr>
              <w:t xml:space="preserve">Liczba projektów, </w:t>
            </w:r>
            <w:r w:rsidRPr="001F763D">
              <w:rPr>
                <w:rFonts w:ascii="Calibri" w:hAnsi="Calibri"/>
                <w:color w:val="auto"/>
              </w:rPr>
              <w:br/>
              <w:t>w których sfinansowano koszty racjonalnych usprawnień dla osób z niepełnosprawnościami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4F82404D" w14:textId="4C9AA33D" w:rsidR="00197360" w:rsidRPr="000E32B0" w:rsidRDefault="00197360" w:rsidP="0019736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22EC4DC2" w14:textId="77777777" w:rsidR="00197360" w:rsidRDefault="00197360" w:rsidP="00197360">
            <w:pPr>
              <w:spacing w:before="120" w:after="120" w:line="240" w:lineRule="auto"/>
              <w:jc w:val="both"/>
            </w:pPr>
            <w:r>
              <w:t xml:space="preserve">Racjonalne usprawnienie oznacza konieczne </w:t>
            </w:r>
            <w:r>
              <w:br/>
              <w:t>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6652AA59" w14:textId="5E6FE1B8" w:rsidR="00197360" w:rsidRPr="000E32B0" w:rsidRDefault="00197360" w:rsidP="0019736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197360" w:rsidRPr="000E32B0" w14:paraId="02220FBB" w14:textId="77777777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14:paraId="0D2E5BFE" w14:textId="17378BB9" w:rsidR="00197360" w:rsidRDefault="00197360" w:rsidP="0019736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F763D"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8BDF69" w14:textId="6B69BB1D" w:rsidR="00197360" w:rsidRPr="00A139A2" w:rsidRDefault="00197360" w:rsidP="00197360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1F763D">
              <w:rPr>
                <w:rFonts w:ascii="Calibri" w:hAnsi="Calibri"/>
                <w:color w:val="auto"/>
              </w:rPr>
              <w:t>Liczba podmiotów wykorzystujących technologie informacyjno-komunikacyjne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7F06AB90" w14:textId="6A4335E4" w:rsidR="00197360" w:rsidRPr="000E32B0" w:rsidRDefault="00197360" w:rsidP="0019736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14:paraId="0F3111DB" w14:textId="77777777" w:rsidR="00197360" w:rsidRDefault="00197360" w:rsidP="00197360">
            <w:pPr>
              <w:spacing w:before="120" w:after="120" w:line="240" w:lineRule="auto"/>
              <w:jc w:val="both"/>
            </w:pPr>
            <w:r>
              <w:t xml:space="preserve">Wskaźnik mierzy liczbę podmiotów, które </w:t>
            </w:r>
            <w:r>
              <w:br/>
              <w:t xml:space="preserve">w celu realizacji projektu, zainwestowały </w:t>
            </w:r>
            <w:r>
              <w:br/>
              <w:t>w technologie informacyjno-komunikacyjne (TIK), a w przypadku projektów edukacyjno-szkoleniowych, również podmiotów, które podjęły działania upowszechniające wykorzystanie TIK.</w:t>
            </w:r>
          </w:p>
          <w:p w14:paraId="6886AECF" w14:textId="77777777" w:rsidR="00197360" w:rsidRDefault="00197360" w:rsidP="00197360">
            <w:pPr>
              <w:spacing w:after="120" w:line="240" w:lineRule="auto"/>
              <w:jc w:val="both"/>
            </w:pPr>
            <w:r>
              <w:t xml:space="preserve">Przez technologie informacyjno-komunikacyjne (ang. ICT Information and Communications Technology) należy rozumieć technologie pozyskiwania/produkcji, gromadzenia/przechowywania, przesyłania, przetwarzania i rozpowszechniania informacji </w:t>
            </w:r>
            <w:r>
              <w:br/>
              <w:t xml:space="preserve">w formie elektronicznej z wykorzystaniem technik cyfrowych i wszelkich narzędzi komunikacji elektronicznej oraz wszelkie działania związane z produkcją </w:t>
            </w:r>
            <w:r>
              <w:br/>
            </w:r>
            <w:r>
              <w:lastRenderedPageBreak/>
              <w:t xml:space="preserve">i wykorzystaniem urządzeń telekomunikacyjnych i informatycznych oraz usług im towarzyszących; działania edukacyjne </w:t>
            </w:r>
            <w:r>
              <w:br/>
              <w:t>i szkoleniowe. W przypadku gdy beneficjentem pozostaje jeden podmiot, we wskaźniku należy ująć wartość „1”.</w:t>
            </w:r>
          </w:p>
          <w:p w14:paraId="127A8A8D" w14:textId="11ED3A81" w:rsidR="00197360" w:rsidRPr="000E32B0" w:rsidRDefault="00197360" w:rsidP="0019736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 xml:space="preserve">W przypadku gdy projekt jest realizowany przez partnerstwo podmiotów, w wartości wskaźnika należy ująć każdy z podmiotów wchodzących </w:t>
            </w:r>
            <w:r>
              <w:br/>
              <w:t>w skład partnerstwa, który wdrożył w swojej działalności narzędzia TIK.</w:t>
            </w:r>
          </w:p>
        </w:tc>
      </w:tr>
    </w:tbl>
    <w:p w14:paraId="6FC21780" w14:textId="77777777" w:rsidR="00855C79" w:rsidRDefault="00855C79" w:rsidP="005252FA"/>
    <w:sectPr w:rsidR="00855C79" w:rsidSect="001C798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7190" w14:textId="77777777" w:rsidR="003038AE" w:rsidRDefault="003038AE" w:rsidP="00AD5066">
      <w:pPr>
        <w:spacing w:after="0" w:line="240" w:lineRule="auto"/>
      </w:pPr>
      <w:r>
        <w:separator/>
      </w:r>
    </w:p>
  </w:endnote>
  <w:endnote w:type="continuationSeparator" w:id="0">
    <w:p w14:paraId="7A9EFFBF" w14:textId="77777777" w:rsidR="003038AE" w:rsidRDefault="003038AE" w:rsidP="00AD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1316"/>
      <w:docPartObj>
        <w:docPartGallery w:val="Page Numbers (Bottom of Page)"/>
        <w:docPartUnique/>
      </w:docPartObj>
    </w:sdtPr>
    <w:sdtEndPr/>
    <w:sdtContent>
      <w:p w14:paraId="11CFE2C7" w14:textId="77777777" w:rsidR="00857815" w:rsidRDefault="008B5592">
        <w:pPr>
          <w:pStyle w:val="Stopka"/>
          <w:jc w:val="center"/>
        </w:pPr>
        <w:r>
          <w:fldChar w:fldCharType="begin"/>
        </w:r>
        <w:r w:rsidR="00991050">
          <w:instrText xml:space="preserve"> PAGE   \* MERGEFORMAT </w:instrText>
        </w:r>
        <w:r>
          <w:fldChar w:fldCharType="separate"/>
        </w:r>
        <w:r w:rsidR="007F1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F3B9FFE" w14:textId="77777777" w:rsidR="00857815" w:rsidRDefault="00857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C8DE8" w14:textId="77777777" w:rsidR="003038AE" w:rsidRDefault="003038AE" w:rsidP="00AD5066">
      <w:pPr>
        <w:spacing w:after="0" w:line="240" w:lineRule="auto"/>
      </w:pPr>
      <w:r>
        <w:separator/>
      </w:r>
    </w:p>
  </w:footnote>
  <w:footnote w:type="continuationSeparator" w:id="0">
    <w:p w14:paraId="297C3161" w14:textId="77777777" w:rsidR="003038AE" w:rsidRDefault="003038AE" w:rsidP="00AD5066">
      <w:pPr>
        <w:spacing w:after="0" w:line="240" w:lineRule="auto"/>
      </w:pPr>
      <w:r>
        <w:continuationSeparator/>
      </w:r>
    </w:p>
  </w:footnote>
  <w:footnote w:id="1">
    <w:p w14:paraId="44B41652" w14:textId="77777777" w:rsidR="00197360" w:rsidRDefault="00197360" w:rsidP="001F763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5AC"/>
    <w:multiLevelType w:val="hybridMultilevel"/>
    <w:tmpl w:val="8DE4D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4A8"/>
    <w:multiLevelType w:val="hybridMultilevel"/>
    <w:tmpl w:val="B9F81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A00BD"/>
    <w:multiLevelType w:val="hybridMultilevel"/>
    <w:tmpl w:val="F2263DEC"/>
    <w:lvl w:ilvl="0" w:tplc="5BC645B0">
      <w:start w:val="1"/>
      <w:numFmt w:val="bullet"/>
      <w:lvlText w:val="-"/>
      <w:lvlJc w:val="left"/>
      <w:pPr>
        <w:ind w:left="74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444E20DA"/>
    <w:multiLevelType w:val="hybridMultilevel"/>
    <w:tmpl w:val="001A6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601C2"/>
    <w:multiLevelType w:val="hybridMultilevel"/>
    <w:tmpl w:val="315AD1C2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 w16cid:durableId="1027756647">
    <w:abstractNumId w:val="3"/>
  </w:num>
  <w:num w:numId="2" w16cid:durableId="344064630">
    <w:abstractNumId w:val="0"/>
  </w:num>
  <w:num w:numId="3" w16cid:durableId="2138525432">
    <w:abstractNumId w:val="1"/>
  </w:num>
  <w:num w:numId="4" w16cid:durableId="301231493">
    <w:abstractNumId w:val="2"/>
  </w:num>
  <w:num w:numId="5" w16cid:durableId="129322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50"/>
    <w:rsid w:val="00031BDC"/>
    <w:rsid w:val="00051138"/>
    <w:rsid w:val="0007078B"/>
    <w:rsid w:val="000D7119"/>
    <w:rsid w:val="000E32B0"/>
    <w:rsid w:val="000F3291"/>
    <w:rsid w:val="00113C8B"/>
    <w:rsid w:val="001434E1"/>
    <w:rsid w:val="00162FBD"/>
    <w:rsid w:val="00197360"/>
    <w:rsid w:val="001B4374"/>
    <w:rsid w:val="001C7988"/>
    <w:rsid w:val="002140B0"/>
    <w:rsid w:val="00230544"/>
    <w:rsid w:val="00242D5C"/>
    <w:rsid w:val="00244AB9"/>
    <w:rsid w:val="0029355D"/>
    <w:rsid w:val="002C1BD8"/>
    <w:rsid w:val="002E08D9"/>
    <w:rsid w:val="002F335D"/>
    <w:rsid w:val="003038AE"/>
    <w:rsid w:val="0031456E"/>
    <w:rsid w:val="003264DD"/>
    <w:rsid w:val="00392BB3"/>
    <w:rsid w:val="003B0F5E"/>
    <w:rsid w:val="003F7E2A"/>
    <w:rsid w:val="00413712"/>
    <w:rsid w:val="00445077"/>
    <w:rsid w:val="0044786F"/>
    <w:rsid w:val="0048317E"/>
    <w:rsid w:val="004A6CE7"/>
    <w:rsid w:val="004F04EB"/>
    <w:rsid w:val="004F2F17"/>
    <w:rsid w:val="005252FA"/>
    <w:rsid w:val="005433DD"/>
    <w:rsid w:val="00563654"/>
    <w:rsid w:val="005D0158"/>
    <w:rsid w:val="00600297"/>
    <w:rsid w:val="00683050"/>
    <w:rsid w:val="006930B2"/>
    <w:rsid w:val="007337DE"/>
    <w:rsid w:val="00745E9E"/>
    <w:rsid w:val="00761B2A"/>
    <w:rsid w:val="00775A7E"/>
    <w:rsid w:val="00780D47"/>
    <w:rsid w:val="00790ED5"/>
    <w:rsid w:val="00792457"/>
    <w:rsid w:val="007F148B"/>
    <w:rsid w:val="00806F48"/>
    <w:rsid w:val="00814727"/>
    <w:rsid w:val="00830A14"/>
    <w:rsid w:val="00855C79"/>
    <w:rsid w:val="00857815"/>
    <w:rsid w:val="008A6C5F"/>
    <w:rsid w:val="008B5592"/>
    <w:rsid w:val="008C1839"/>
    <w:rsid w:val="00914FF8"/>
    <w:rsid w:val="00953706"/>
    <w:rsid w:val="00964E77"/>
    <w:rsid w:val="00973557"/>
    <w:rsid w:val="00983116"/>
    <w:rsid w:val="00991050"/>
    <w:rsid w:val="00A139A2"/>
    <w:rsid w:val="00A271C9"/>
    <w:rsid w:val="00A51E92"/>
    <w:rsid w:val="00A55354"/>
    <w:rsid w:val="00A714C6"/>
    <w:rsid w:val="00A751D9"/>
    <w:rsid w:val="00A91452"/>
    <w:rsid w:val="00AB124E"/>
    <w:rsid w:val="00AD5066"/>
    <w:rsid w:val="00AE602C"/>
    <w:rsid w:val="00AF7E09"/>
    <w:rsid w:val="00B069C4"/>
    <w:rsid w:val="00B1519A"/>
    <w:rsid w:val="00B50C2D"/>
    <w:rsid w:val="00BA31B8"/>
    <w:rsid w:val="00BA58D4"/>
    <w:rsid w:val="00BB1ED4"/>
    <w:rsid w:val="00BB5F85"/>
    <w:rsid w:val="00BC07D0"/>
    <w:rsid w:val="00BE099D"/>
    <w:rsid w:val="00C24833"/>
    <w:rsid w:val="00C560BF"/>
    <w:rsid w:val="00C70445"/>
    <w:rsid w:val="00C70A4D"/>
    <w:rsid w:val="00CA07C8"/>
    <w:rsid w:val="00CB02FA"/>
    <w:rsid w:val="00CB600C"/>
    <w:rsid w:val="00CD35D5"/>
    <w:rsid w:val="00CE1015"/>
    <w:rsid w:val="00CF646B"/>
    <w:rsid w:val="00DA4EF4"/>
    <w:rsid w:val="00DE2020"/>
    <w:rsid w:val="00E01BED"/>
    <w:rsid w:val="00E03237"/>
    <w:rsid w:val="00E13FCB"/>
    <w:rsid w:val="00E35B5C"/>
    <w:rsid w:val="00E3654E"/>
    <w:rsid w:val="00E61954"/>
    <w:rsid w:val="00E77943"/>
    <w:rsid w:val="00E81E13"/>
    <w:rsid w:val="00EA435F"/>
    <w:rsid w:val="00EA52E4"/>
    <w:rsid w:val="00EB6C53"/>
    <w:rsid w:val="00F0556E"/>
    <w:rsid w:val="00F419E3"/>
    <w:rsid w:val="00F851BD"/>
    <w:rsid w:val="00FA4C23"/>
    <w:rsid w:val="00FB03DE"/>
    <w:rsid w:val="00FB431B"/>
    <w:rsid w:val="00FC69CE"/>
    <w:rsid w:val="00F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CA50"/>
  <w15:docId w15:val="{9A6FF76A-E990-4354-A003-F7ECF18D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050"/>
    <w:pPr>
      <w:spacing w:after="200"/>
      <w:ind w:firstLine="0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83050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30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3050"/>
    <w:rPr>
      <w:rFonts w:ascii="Tahoma" w:eastAsia="Times New Roman" w:hAnsi="Tahoma" w:cs="Times New Roman"/>
      <w:b/>
      <w:sz w:val="20"/>
      <w:szCs w:val="24"/>
    </w:rPr>
  </w:style>
  <w:style w:type="paragraph" w:customStyle="1" w:styleId="Default">
    <w:name w:val="Default"/>
    <w:rsid w:val="00683050"/>
    <w:pPr>
      <w:autoSpaceDE w:val="0"/>
      <w:autoSpaceDN w:val="0"/>
      <w:adjustRightInd w:val="0"/>
      <w:spacing w:line="240" w:lineRule="auto"/>
      <w:ind w:firstLine="0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30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242D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0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0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0BF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F055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F0556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F05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2CA8C-1E87-4B02-8060-D335449E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1457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j.pakalska</dc:creator>
  <cp:keywords/>
  <dc:description/>
  <cp:lastModifiedBy>Dorota Sawicka</cp:lastModifiedBy>
  <cp:revision>7</cp:revision>
  <dcterms:created xsi:type="dcterms:W3CDTF">2022-12-01T09:04:00Z</dcterms:created>
  <dcterms:modified xsi:type="dcterms:W3CDTF">2022-12-22T11:14:00Z</dcterms:modified>
</cp:coreProperties>
</file>