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534A" w:rsidRPr="007F148B" w:rsidRDefault="0056534A" w:rsidP="0056534A">
      <w:pPr>
        <w:tabs>
          <w:tab w:val="left" w:pos="4253"/>
        </w:tabs>
        <w:spacing w:after="0"/>
        <w:ind w:left="4820" w:right="-425"/>
        <w:rPr>
          <w:sz w:val="20"/>
          <w:szCs w:val="20"/>
        </w:rPr>
      </w:pPr>
      <w:r w:rsidRPr="007F148B">
        <w:rPr>
          <w:sz w:val="20"/>
          <w:szCs w:val="20"/>
        </w:rPr>
        <w:t xml:space="preserve">Załącznik nr 2 do uchwały nr </w:t>
      </w:r>
      <w:r>
        <w:rPr>
          <w:sz w:val="20"/>
          <w:szCs w:val="20"/>
        </w:rPr>
        <w:t>71</w:t>
      </w:r>
      <w:r w:rsidRPr="007F148B">
        <w:rPr>
          <w:sz w:val="20"/>
          <w:szCs w:val="20"/>
        </w:rPr>
        <w:t>/2019 KM RPO WK-P na lata 2014-2020</w:t>
      </w:r>
    </w:p>
    <w:p w:rsidR="0056534A" w:rsidRPr="007F148B" w:rsidRDefault="0056534A" w:rsidP="0056534A">
      <w:pPr>
        <w:tabs>
          <w:tab w:val="left" w:pos="4253"/>
        </w:tabs>
        <w:spacing w:after="0"/>
        <w:rPr>
          <w:sz w:val="20"/>
          <w:szCs w:val="20"/>
        </w:rPr>
      </w:pPr>
      <w:r>
        <w:rPr>
          <w:sz w:val="20"/>
          <w:szCs w:val="20"/>
        </w:rPr>
        <w:tab/>
        <w:t xml:space="preserve">            </w:t>
      </w:r>
      <w:r w:rsidRPr="007F148B">
        <w:rPr>
          <w:sz w:val="20"/>
          <w:szCs w:val="20"/>
        </w:rPr>
        <w:t>z dnia 2 grudnia 2019 r.</w:t>
      </w:r>
    </w:p>
    <w:p w:rsidR="005534AA" w:rsidRPr="005534AA" w:rsidRDefault="005534AA" w:rsidP="005534AA">
      <w:pPr>
        <w:spacing w:after="0"/>
        <w:ind w:left="3540" w:firstLine="708"/>
        <w:rPr>
          <w:b/>
          <w:sz w:val="18"/>
          <w:szCs w:val="18"/>
        </w:rPr>
      </w:pPr>
    </w:p>
    <w:p w:rsidR="00BA31B8" w:rsidRPr="00BA31B8" w:rsidRDefault="00683050" w:rsidP="00BA31B8">
      <w:pPr>
        <w:pStyle w:val="Nagwek2"/>
        <w:spacing w:line="360" w:lineRule="auto"/>
        <w:ind w:right="-1559" w:firstLine="0"/>
        <w:rPr>
          <w:rFonts w:asciiTheme="minorHAnsi" w:hAnsiTheme="minorHAnsi"/>
          <w:bCs/>
          <w:sz w:val="24"/>
          <w:u w:val="single"/>
        </w:rPr>
      </w:pPr>
      <w:r w:rsidRPr="000E32B0">
        <w:rPr>
          <w:rFonts w:asciiTheme="minorHAnsi" w:hAnsiTheme="minorHAnsi"/>
          <w:sz w:val="24"/>
          <w:u w:val="single"/>
        </w:rPr>
        <w:t>Załącznik nr 1 do Kryteriów wyboru projektów</w:t>
      </w:r>
      <w:r w:rsidR="000E32B0" w:rsidRPr="000E32B0">
        <w:rPr>
          <w:rFonts w:asciiTheme="minorHAnsi" w:hAnsiTheme="minorHAnsi"/>
          <w:bCs/>
          <w:sz w:val="24"/>
          <w:u w:val="single"/>
        </w:rPr>
        <w:t>. Definicje wskaźników produktu i rezultatu.</w:t>
      </w:r>
    </w:p>
    <w:p w:rsidR="00BA31B8" w:rsidRDefault="00BA31B8" w:rsidP="000E32B0">
      <w:pPr>
        <w:spacing w:after="0" w:line="240" w:lineRule="auto"/>
        <w:ind w:right="-1559"/>
        <w:jc w:val="both"/>
        <w:rPr>
          <w:rFonts w:asciiTheme="minorHAnsi" w:hAnsiTheme="minorHAnsi"/>
          <w:b/>
        </w:rPr>
      </w:pPr>
    </w:p>
    <w:p w:rsidR="00371948" w:rsidRPr="008F4F2E" w:rsidRDefault="00371948" w:rsidP="00371948">
      <w:pPr>
        <w:spacing w:after="0" w:line="240" w:lineRule="auto"/>
        <w:ind w:right="-1559"/>
        <w:jc w:val="both"/>
        <w:rPr>
          <w:sz w:val="24"/>
          <w:szCs w:val="24"/>
        </w:rPr>
      </w:pPr>
      <w:r w:rsidRPr="008F4F2E">
        <w:rPr>
          <w:b/>
          <w:sz w:val="24"/>
          <w:szCs w:val="24"/>
        </w:rPr>
        <w:t>Działanie:</w:t>
      </w:r>
      <w:r>
        <w:rPr>
          <w:sz w:val="24"/>
          <w:szCs w:val="24"/>
        </w:rPr>
        <w:t xml:space="preserve">  3.5</w:t>
      </w:r>
      <w:r w:rsidRPr="008F4F2E">
        <w:rPr>
          <w:sz w:val="24"/>
          <w:szCs w:val="24"/>
        </w:rPr>
        <w:t xml:space="preserve"> </w:t>
      </w:r>
      <w:r>
        <w:rPr>
          <w:sz w:val="24"/>
          <w:szCs w:val="24"/>
        </w:rPr>
        <w:t>Efektywność energetyczna i gospodarka niskoemisyjna w ramach ZIT</w:t>
      </w:r>
    </w:p>
    <w:p w:rsidR="00371948" w:rsidRDefault="00371948" w:rsidP="00371948">
      <w:pPr>
        <w:spacing w:after="0" w:line="240" w:lineRule="auto"/>
        <w:ind w:right="-1559"/>
        <w:jc w:val="both"/>
        <w:rPr>
          <w:sz w:val="24"/>
          <w:szCs w:val="24"/>
        </w:rPr>
      </w:pPr>
      <w:r w:rsidRPr="008F4F2E">
        <w:rPr>
          <w:b/>
          <w:sz w:val="24"/>
          <w:szCs w:val="24"/>
        </w:rPr>
        <w:t>Poddziałanie:</w:t>
      </w:r>
      <w:r w:rsidRPr="008F4F2E">
        <w:rPr>
          <w:sz w:val="24"/>
          <w:szCs w:val="24"/>
        </w:rPr>
        <w:t xml:space="preserve">  </w:t>
      </w:r>
      <w:r>
        <w:rPr>
          <w:sz w:val="24"/>
          <w:szCs w:val="24"/>
        </w:rPr>
        <w:t>3.5.2 Zrównoważona mobilność miejska i promowanie strategii niskoemisyjnych w ramach ZIT</w:t>
      </w:r>
    </w:p>
    <w:p w:rsidR="00371948" w:rsidRDefault="00371948" w:rsidP="00371948">
      <w:pPr>
        <w:spacing w:after="0" w:line="240" w:lineRule="auto"/>
        <w:ind w:right="-1559"/>
        <w:jc w:val="both"/>
        <w:rPr>
          <w:sz w:val="24"/>
          <w:szCs w:val="24"/>
        </w:rPr>
      </w:pPr>
      <w:r w:rsidRPr="008E7830">
        <w:rPr>
          <w:b/>
          <w:sz w:val="24"/>
          <w:szCs w:val="24"/>
        </w:rPr>
        <w:t>Oś priorytetowa:</w:t>
      </w:r>
      <w:r>
        <w:rPr>
          <w:sz w:val="24"/>
          <w:szCs w:val="24"/>
        </w:rPr>
        <w:t xml:space="preserve"> 3 Efektywność energetyczna i gospodarka niskoemisyjna w regionie</w:t>
      </w:r>
    </w:p>
    <w:p w:rsidR="00371948" w:rsidRPr="00193730" w:rsidRDefault="00371948" w:rsidP="00371948">
      <w:pPr>
        <w:spacing w:after="0" w:line="240" w:lineRule="auto"/>
        <w:ind w:right="-1559"/>
        <w:jc w:val="both"/>
        <w:rPr>
          <w:color w:val="000000"/>
          <w:sz w:val="24"/>
          <w:szCs w:val="24"/>
        </w:rPr>
      </w:pPr>
      <w:r w:rsidRPr="00193730">
        <w:rPr>
          <w:b/>
          <w:color w:val="000000"/>
          <w:sz w:val="24"/>
          <w:szCs w:val="24"/>
        </w:rPr>
        <w:t>Priorytet:</w:t>
      </w:r>
      <w:r w:rsidRPr="00193730">
        <w:rPr>
          <w:color w:val="000000"/>
          <w:sz w:val="24"/>
          <w:szCs w:val="24"/>
        </w:rPr>
        <w:t xml:space="preserve"> 4e </w:t>
      </w:r>
      <w:r w:rsidRPr="00193730">
        <w:rPr>
          <w:rFonts w:cs="Garamond,Bold"/>
          <w:bCs/>
          <w:color w:val="000000"/>
          <w:sz w:val="24"/>
          <w:szCs w:val="24"/>
          <w:lang w:eastAsia="pl-PL"/>
        </w:rPr>
        <w:t>Promowanie strategii niskoemisyjnych dl</w:t>
      </w:r>
      <w:bookmarkStart w:id="0" w:name="_GoBack"/>
      <w:bookmarkEnd w:id="0"/>
      <w:r w:rsidRPr="00193730">
        <w:rPr>
          <w:rFonts w:cs="Garamond,Bold"/>
          <w:bCs/>
          <w:color w:val="000000"/>
          <w:sz w:val="24"/>
          <w:szCs w:val="24"/>
          <w:lang w:eastAsia="pl-PL"/>
        </w:rPr>
        <w:t>a wszystkich rodzajów</w:t>
      </w:r>
      <w:r w:rsidRPr="00193730">
        <w:rPr>
          <w:color w:val="000000"/>
          <w:sz w:val="24"/>
          <w:szCs w:val="24"/>
        </w:rPr>
        <w:t xml:space="preserve"> </w:t>
      </w:r>
      <w:r w:rsidRPr="00193730">
        <w:rPr>
          <w:rFonts w:cs="Garamond,Bold"/>
          <w:bCs/>
          <w:color w:val="000000"/>
          <w:sz w:val="24"/>
          <w:szCs w:val="24"/>
          <w:lang w:eastAsia="pl-PL"/>
        </w:rPr>
        <w:t xml:space="preserve">terytoriów, </w:t>
      </w:r>
      <w:r>
        <w:rPr>
          <w:rFonts w:cs="Garamond,Bold"/>
          <w:bCs/>
          <w:color w:val="000000"/>
          <w:sz w:val="24"/>
          <w:szCs w:val="24"/>
          <w:lang w:eastAsia="pl-PL"/>
        </w:rPr>
        <w:br/>
      </w:r>
      <w:r w:rsidRPr="00193730">
        <w:rPr>
          <w:rFonts w:cs="Garamond,Bold"/>
          <w:bCs/>
          <w:color w:val="000000"/>
          <w:sz w:val="24"/>
          <w:szCs w:val="24"/>
          <w:lang w:eastAsia="pl-PL"/>
        </w:rPr>
        <w:t>w szczególności dla obszarów miejskich, w tym wspieranie zrównoważonej</w:t>
      </w:r>
      <w:r w:rsidRPr="00193730">
        <w:rPr>
          <w:color w:val="000000"/>
          <w:sz w:val="24"/>
          <w:szCs w:val="24"/>
        </w:rPr>
        <w:t xml:space="preserve"> </w:t>
      </w:r>
      <w:r w:rsidRPr="00193730">
        <w:rPr>
          <w:rFonts w:cs="Garamond,Bold"/>
          <w:bCs/>
          <w:color w:val="000000"/>
          <w:sz w:val="24"/>
          <w:szCs w:val="24"/>
          <w:lang w:eastAsia="pl-PL"/>
        </w:rPr>
        <w:t>multimodalnej mobilności miejskiej i działań adaptacyjnych mających oddziaływanie</w:t>
      </w:r>
      <w:r w:rsidRPr="00193730">
        <w:rPr>
          <w:color w:val="000000"/>
          <w:sz w:val="24"/>
          <w:szCs w:val="24"/>
        </w:rPr>
        <w:t xml:space="preserve"> </w:t>
      </w:r>
      <w:r w:rsidRPr="00193730">
        <w:rPr>
          <w:rFonts w:cs="Garamond,Bold"/>
          <w:bCs/>
          <w:color w:val="000000"/>
          <w:sz w:val="24"/>
          <w:szCs w:val="24"/>
          <w:lang w:eastAsia="pl-PL"/>
        </w:rPr>
        <w:t>łagodzące na zmiany klimatu</w:t>
      </w:r>
    </w:p>
    <w:p w:rsidR="00371948" w:rsidRDefault="00371948" w:rsidP="00371948">
      <w:pPr>
        <w:spacing w:after="0" w:line="240" w:lineRule="auto"/>
        <w:ind w:right="-1559"/>
        <w:jc w:val="both"/>
        <w:rPr>
          <w:sz w:val="24"/>
          <w:szCs w:val="24"/>
        </w:rPr>
      </w:pPr>
      <w:r w:rsidRPr="008F4F2E">
        <w:rPr>
          <w:b/>
          <w:sz w:val="24"/>
          <w:szCs w:val="24"/>
        </w:rPr>
        <w:t>Cel szczegółowy:</w:t>
      </w:r>
      <w:r>
        <w:rPr>
          <w:sz w:val="24"/>
          <w:szCs w:val="24"/>
        </w:rPr>
        <w:t xml:space="preserve">  Zwiększone wykorzystanie transportu publicznego w miastach i ich obszarach funkcjonalnych</w:t>
      </w:r>
    </w:p>
    <w:p w:rsidR="00371948" w:rsidRPr="00371948" w:rsidRDefault="00371948" w:rsidP="005F7C4D">
      <w:pPr>
        <w:autoSpaceDE w:val="0"/>
        <w:autoSpaceDN w:val="0"/>
        <w:adjustRightInd w:val="0"/>
        <w:spacing w:after="0" w:line="240" w:lineRule="auto"/>
        <w:ind w:right="-1559"/>
        <w:jc w:val="both"/>
        <w:rPr>
          <w:b/>
          <w:sz w:val="24"/>
          <w:szCs w:val="24"/>
        </w:rPr>
      </w:pPr>
      <w:r w:rsidRPr="007E5249">
        <w:rPr>
          <w:b/>
          <w:sz w:val="24"/>
          <w:szCs w:val="24"/>
        </w:rPr>
        <w:t xml:space="preserve">Schemat: </w:t>
      </w:r>
      <w:r>
        <w:rPr>
          <w:sz w:val="24"/>
          <w:szCs w:val="24"/>
        </w:rPr>
        <w:t>Modernizacja oświetlenia ulicznego</w:t>
      </w:r>
      <w:r w:rsidRPr="0087504B">
        <w:rPr>
          <w:sz w:val="24"/>
          <w:szCs w:val="24"/>
        </w:rPr>
        <w:t xml:space="preserve"> </w:t>
      </w:r>
      <w:r w:rsidRPr="002E648E">
        <w:rPr>
          <w:rFonts w:eastAsia="Times New Roman"/>
          <w:sz w:val="24"/>
          <w:szCs w:val="24"/>
          <w:lang w:eastAsia="pl-PL"/>
        </w:rPr>
        <w:t xml:space="preserve">w ramach </w:t>
      </w:r>
      <w:r w:rsidRPr="002E648E">
        <w:rPr>
          <w:rFonts w:eastAsia="Times New Roman" w:cs="Arial"/>
          <w:sz w:val="24"/>
          <w:szCs w:val="24"/>
          <w:shd w:val="clear" w:color="auto" w:fill="FFFFFF"/>
          <w:lang w:eastAsia="pl-PL"/>
        </w:rPr>
        <w:t>Zintegrowanych Inwestycji Terytorialnych (</w:t>
      </w:r>
      <w:r w:rsidRPr="002E648E">
        <w:rPr>
          <w:rFonts w:eastAsia="Times New Roman"/>
          <w:sz w:val="24"/>
          <w:szCs w:val="24"/>
          <w:lang w:eastAsia="pl-PL"/>
        </w:rPr>
        <w:t>ZIT)</w:t>
      </w:r>
    </w:p>
    <w:p w:rsidR="00CB02FA" w:rsidRDefault="00CB02FA" w:rsidP="000E32B0">
      <w:pPr>
        <w:pStyle w:val="Default"/>
        <w:ind w:right="-1559"/>
        <w:jc w:val="both"/>
        <w:rPr>
          <w:rFonts w:asciiTheme="minorHAnsi" w:hAnsiTheme="minorHAnsi" w:cs="Times New Roman"/>
          <w:color w:val="auto"/>
          <w:sz w:val="22"/>
          <w:szCs w:val="22"/>
          <w:lang w:eastAsia="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658"/>
        <w:gridCol w:w="1519"/>
        <w:gridCol w:w="4551"/>
      </w:tblGrid>
      <w:tr w:rsidR="00CB02FA" w:rsidRPr="000E32B0" w:rsidTr="00CB600C">
        <w:trPr>
          <w:trHeight w:val="484"/>
        </w:trPr>
        <w:tc>
          <w:tcPr>
            <w:tcW w:w="0" w:type="auto"/>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Lp.</w:t>
            </w:r>
          </w:p>
        </w:tc>
        <w:tc>
          <w:tcPr>
            <w:tcW w:w="0" w:type="auto"/>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Nazwa wskaźnika</w:t>
            </w:r>
          </w:p>
        </w:tc>
        <w:tc>
          <w:tcPr>
            <w:tcW w:w="1519" w:type="dxa"/>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Jednostka miary</w:t>
            </w:r>
          </w:p>
        </w:tc>
        <w:tc>
          <w:tcPr>
            <w:tcW w:w="4551" w:type="dxa"/>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Definicja</w:t>
            </w:r>
          </w:p>
        </w:tc>
      </w:tr>
      <w:tr w:rsidR="00683050" w:rsidRPr="000E32B0" w:rsidTr="000E32B0">
        <w:trPr>
          <w:trHeight w:val="535"/>
        </w:trPr>
        <w:tc>
          <w:tcPr>
            <w:tcW w:w="9214" w:type="dxa"/>
            <w:gridSpan w:val="4"/>
            <w:shd w:val="clear" w:color="auto" w:fill="F2F2F2"/>
            <w:vAlign w:val="center"/>
          </w:tcPr>
          <w:p w:rsidR="00683050" w:rsidRPr="000E32B0" w:rsidRDefault="00683050" w:rsidP="000E32B0">
            <w:pPr>
              <w:spacing w:after="0" w:line="240" w:lineRule="auto"/>
              <w:jc w:val="center"/>
              <w:rPr>
                <w:rFonts w:asciiTheme="minorHAnsi" w:hAnsiTheme="minorHAnsi" w:cs="Arial"/>
                <w:b/>
              </w:rPr>
            </w:pPr>
            <w:r w:rsidRPr="000E32B0">
              <w:rPr>
                <w:rFonts w:asciiTheme="minorHAnsi" w:hAnsiTheme="minorHAnsi" w:cs="Arial"/>
                <w:b/>
              </w:rPr>
              <w:t>Wskaźnik rezultatu bezpośredniego</w:t>
            </w:r>
          </w:p>
        </w:tc>
      </w:tr>
      <w:tr w:rsidR="008B28F0" w:rsidRPr="000E32B0" w:rsidTr="00CB600C">
        <w:trPr>
          <w:trHeight w:val="575"/>
        </w:trPr>
        <w:tc>
          <w:tcPr>
            <w:tcW w:w="0" w:type="auto"/>
            <w:shd w:val="clear" w:color="auto" w:fill="FFFFFF"/>
            <w:vAlign w:val="center"/>
          </w:tcPr>
          <w:p w:rsidR="008B28F0" w:rsidRPr="000E32B0" w:rsidRDefault="008B28F0"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rsidR="008B28F0" w:rsidRPr="00A139A2" w:rsidRDefault="008B28F0" w:rsidP="008B28F0">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Ilość zaoszczędzonej energii elektrycznej</w:t>
            </w:r>
          </w:p>
        </w:tc>
        <w:tc>
          <w:tcPr>
            <w:tcW w:w="1519" w:type="dxa"/>
            <w:shd w:val="clear" w:color="auto" w:fill="FFFFFF"/>
            <w:vAlign w:val="center"/>
          </w:tcPr>
          <w:p w:rsidR="008B28F0" w:rsidRPr="00790ED5" w:rsidRDefault="008B28F0" w:rsidP="008B28F0">
            <w:pPr>
              <w:spacing w:after="0" w:line="240" w:lineRule="auto"/>
              <w:jc w:val="center"/>
              <w:rPr>
                <w:rFonts w:asciiTheme="minorHAnsi" w:hAnsiTheme="minorHAnsi" w:cs="Arial"/>
              </w:rPr>
            </w:pPr>
            <w:r w:rsidRPr="00790ED5">
              <w:rPr>
                <w:rFonts w:asciiTheme="minorHAnsi" w:hAnsiTheme="minorHAnsi"/>
              </w:rPr>
              <w:t>MWh/rok</w:t>
            </w:r>
          </w:p>
        </w:tc>
        <w:tc>
          <w:tcPr>
            <w:tcW w:w="4551" w:type="dxa"/>
            <w:shd w:val="clear" w:color="auto" w:fill="FFFFFF"/>
            <w:vAlign w:val="center"/>
          </w:tcPr>
          <w:p w:rsidR="008B28F0" w:rsidRDefault="008B28F0" w:rsidP="00FD1DCA">
            <w:pPr>
              <w:spacing w:after="0" w:line="240" w:lineRule="auto"/>
              <w:jc w:val="both"/>
            </w:pPr>
            <w:r>
              <w:t xml:space="preserve">Ilość zaoszczędzonej w wyniku realizacji projektu energii elektrycznej w dystrybucji </w:t>
            </w:r>
            <w:r w:rsidR="003E7046">
              <w:br/>
            </w:r>
            <w:r>
              <w:t>w ciągu pełnego roku po zakończeniu projektu w stosunku do roku bazowego. Wskaźnik odnosi się do energii finalnej.</w:t>
            </w:r>
          </w:p>
          <w:p w:rsidR="008B28F0" w:rsidRPr="00790ED5" w:rsidRDefault="008B28F0" w:rsidP="008B28F0">
            <w:pPr>
              <w:spacing w:after="0" w:line="240" w:lineRule="auto"/>
              <w:jc w:val="both"/>
              <w:rPr>
                <w:rFonts w:asciiTheme="minorHAnsi" w:hAnsiTheme="minorHAnsi" w:cs="Arial"/>
              </w:rPr>
            </w:pPr>
            <w:r>
              <w:t>Różnica między rocznym zużyciem energii elektrycznej w roku bazowym w stosunku do rocznego zużycia energii elektrycznej po zakończeniu projektu.</w:t>
            </w:r>
          </w:p>
        </w:tc>
      </w:tr>
      <w:tr w:rsidR="008B28F0" w:rsidRPr="000E32B0" w:rsidTr="00CB600C">
        <w:trPr>
          <w:trHeight w:val="575"/>
        </w:trPr>
        <w:tc>
          <w:tcPr>
            <w:tcW w:w="0" w:type="auto"/>
            <w:shd w:val="clear" w:color="auto" w:fill="FFFFFF"/>
            <w:vAlign w:val="center"/>
          </w:tcPr>
          <w:p w:rsidR="008B28F0" w:rsidRPr="000E32B0" w:rsidRDefault="008B28F0" w:rsidP="00FD1DC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rsidR="008B28F0" w:rsidRPr="00A139A2" w:rsidRDefault="008B28F0" w:rsidP="008B28F0">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Szacowany roczny spadek emisji gazów cieplarnianych (CI34)</w:t>
            </w:r>
          </w:p>
        </w:tc>
        <w:tc>
          <w:tcPr>
            <w:tcW w:w="1519" w:type="dxa"/>
            <w:shd w:val="clear" w:color="auto" w:fill="FFFFFF"/>
            <w:vAlign w:val="center"/>
          </w:tcPr>
          <w:p w:rsidR="008B28F0" w:rsidRPr="00790ED5" w:rsidRDefault="008B28F0" w:rsidP="008B28F0">
            <w:pPr>
              <w:spacing w:after="0" w:line="240" w:lineRule="auto"/>
              <w:jc w:val="center"/>
              <w:rPr>
                <w:rFonts w:asciiTheme="minorHAnsi" w:hAnsiTheme="minorHAnsi" w:cs="Arial"/>
              </w:rPr>
            </w:pPr>
            <w:r w:rsidRPr="00790ED5">
              <w:rPr>
                <w:rFonts w:asciiTheme="minorHAnsi" w:hAnsiTheme="minorHAnsi"/>
              </w:rPr>
              <w:t>tony równoważnika CO</w:t>
            </w:r>
            <w:r w:rsidRPr="00FC69CE">
              <w:rPr>
                <w:rFonts w:asciiTheme="minorHAnsi" w:hAnsiTheme="minorHAnsi"/>
                <w:vertAlign w:val="subscript"/>
              </w:rPr>
              <w:t>2</w:t>
            </w:r>
          </w:p>
        </w:tc>
        <w:tc>
          <w:tcPr>
            <w:tcW w:w="4551" w:type="dxa"/>
            <w:shd w:val="clear" w:color="auto" w:fill="FFFFFF"/>
            <w:vAlign w:val="center"/>
          </w:tcPr>
          <w:p w:rsidR="008B28F0" w:rsidRDefault="008B28F0" w:rsidP="008B28F0">
            <w:pPr>
              <w:spacing w:after="120" w:line="240" w:lineRule="auto"/>
              <w:jc w:val="both"/>
            </w:pPr>
            <w:r>
              <w:t xml:space="preserve">Wskaźnik </w:t>
            </w:r>
            <w:r w:rsidR="00E02D92" w:rsidRPr="007729A9">
              <w:t>dotyczy redukcji CO</w:t>
            </w:r>
            <w:r w:rsidR="00E02D92" w:rsidRPr="007729A9">
              <w:rPr>
                <w:vertAlign w:val="subscript"/>
              </w:rPr>
              <w:t>2</w:t>
            </w:r>
            <w:r w:rsidR="00E02D92" w:rsidRPr="007729A9">
              <w:t xml:space="preserve"> i </w:t>
            </w:r>
            <w:r>
              <w:t xml:space="preserve">mierzy łączny szacunkowy roczny spadek na koniec okresu, </w:t>
            </w:r>
            <w:r w:rsidR="00E02D92">
              <w:br/>
            </w:r>
            <w:r>
              <w:t>a nie całkowity spadek w całym okresie.</w:t>
            </w:r>
          </w:p>
          <w:p w:rsidR="008B28F0" w:rsidRDefault="008B28F0" w:rsidP="008B28F0">
            <w:pPr>
              <w:spacing w:after="120" w:line="240" w:lineRule="auto"/>
              <w:jc w:val="both"/>
            </w:pPr>
            <w:r>
              <w:t>W przypadku działań dotyczących oszczędności energii, szacunki opierają się na ilości zaoszczędzonej energii w danym roku poprzez wsparcie działań (albo jeden rok po zakończeniu projektu lub w roku kalendarzowym, po zakończeniu projektu). Zaoszczędzona energia ma zastąpić produkcję energii ze źródeł nieodnawialnych. Wpływ gazów cieplarnianych powstałych ze źródeł energii nieodnawialnej jest szacowany poprzez koszt emisji gazów cieplarnianych przypadających na jednostkę produkcji energii ze źródeł nieodnawialnych.</w:t>
            </w:r>
          </w:p>
          <w:p w:rsidR="008B28F0" w:rsidRPr="00F90F4D" w:rsidRDefault="008B28F0" w:rsidP="00F90F4D">
            <w:pPr>
              <w:spacing w:after="0" w:line="240" w:lineRule="auto"/>
              <w:jc w:val="both"/>
              <w:rPr>
                <w:rFonts w:asciiTheme="minorHAnsi" w:hAnsiTheme="minorHAnsi"/>
              </w:rPr>
            </w:pPr>
            <w:r w:rsidRPr="00790ED5">
              <w:rPr>
                <w:rFonts w:asciiTheme="minorHAnsi" w:hAnsiTheme="minorHAnsi"/>
              </w:rPr>
              <w:t xml:space="preserve">Wartość wskaźnika należy oszacować wynikowo, w odniesieniu do mierników </w:t>
            </w:r>
            <w:r w:rsidRPr="00790ED5">
              <w:rPr>
                <w:rFonts w:asciiTheme="minorHAnsi" w:hAnsiTheme="minorHAnsi"/>
              </w:rPr>
              <w:lastRenderedPageBreak/>
              <w:t>opisujących ilość zaoszczędzonej energii. Wykorzystać nal</w:t>
            </w:r>
            <w:r w:rsidR="00F90F4D">
              <w:rPr>
                <w:rFonts w:asciiTheme="minorHAnsi" w:hAnsiTheme="minorHAnsi"/>
              </w:rPr>
              <w:t>eży wartość docelową</w:t>
            </w:r>
            <w:r>
              <w:rPr>
                <w:rFonts w:asciiTheme="minorHAnsi" w:hAnsiTheme="minorHAnsi"/>
              </w:rPr>
              <w:t xml:space="preserve"> wskaźnika</w:t>
            </w:r>
            <w:r w:rsidR="00F90F4D">
              <w:rPr>
                <w:rFonts w:asciiTheme="minorHAnsi" w:hAnsiTheme="minorHAnsi"/>
              </w:rPr>
              <w:t xml:space="preserve"> „</w:t>
            </w:r>
            <w:r w:rsidRPr="00F90F4D">
              <w:rPr>
                <w:rFonts w:asciiTheme="minorHAnsi" w:hAnsiTheme="minorHAnsi"/>
              </w:rPr>
              <w:t>Ilość zaoszczędzonej energii elektrycznej</w:t>
            </w:r>
            <w:r w:rsidR="00F90F4D">
              <w:rPr>
                <w:rFonts w:asciiTheme="minorHAnsi" w:hAnsiTheme="minorHAnsi"/>
              </w:rPr>
              <w:t>”</w:t>
            </w:r>
            <w:r w:rsidRPr="00F90F4D">
              <w:rPr>
                <w:rFonts w:asciiTheme="minorHAnsi" w:hAnsiTheme="minorHAnsi"/>
              </w:rPr>
              <w:t>.</w:t>
            </w:r>
          </w:p>
          <w:p w:rsidR="00497FC8" w:rsidRPr="00497FC8" w:rsidRDefault="008B28F0" w:rsidP="00497FC8">
            <w:pPr>
              <w:spacing w:after="120" w:line="240" w:lineRule="auto"/>
              <w:ind w:left="23"/>
              <w:jc w:val="both"/>
              <w:rPr>
                <w:rFonts w:asciiTheme="minorHAnsi" w:hAnsiTheme="minorHAnsi"/>
              </w:rPr>
            </w:pPr>
            <w:r w:rsidRPr="00790ED5">
              <w:rPr>
                <w:rFonts w:asciiTheme="minorHAnsi" w:hAnsiTheme="minorHAnsi"/>
              </w:rPr>
              <w:t xml:space="preserve">Następnie </w:t>
            </w:r>
            <w:r w:rsidR="00497FC8">
              <w:rPr>
                <w:rFonts w:asciiTheme="minorHAnsi" w:hAnsiTheme="minorHAnsi"/>
                <w:u w:val="single"/>
              </w:rPr>
              <w:t>wartość docelową</w:t>
            </w:r>
            <w:r w:rsidRPr="00790ED5">
              <w:rPr>
                <w:rFonts w:asciiTheme="minorHAnsi" w:hAnsiTheme="minorHAnsi"/>
                <w:u w:val="single"/>
              </w:rPr>
              <w:t xml:space="preserve"> </w:t>
            </w:r>
            <w:r w:rsidR="00497FC8">
              <w:rPr>
                <w:rFonts w:asciiTheme="minorHAnsi" w:hAnsiTheme="minorHAnsi"/>
                <w:u w:val="single"/>
              </w:rPr>
              <w:t>wskaźnika</w:t>
            </w:r>
            <w:r w:rsidRPr="00790ED5">
              <w:rPr>
                <w:rFonts w:asciiTheme="minorHAnsi" w:hAnsiTheme="minorHAnsi"/>
                <w:u w:val="single"/>
              </w:rPr>
              <w:t xml:space="preserve"> należy przemnożyć przez </w:t>
            </w:r>
            <w:r w:rsidR="00497FC8">
              <w:rPr>
                <w:rFonts w:asciiTheme="minorHAnsi" w:hAnsiTheme="minorHAnsi"/>
                <w:u w:val="single"/>
              </w:rPr>
              <w:t>współczynnik</w:t>
            </w:r>
            <w:r w:rsidRPr="00790ED5">
              <w:rPr>
                <w:rFonts w:asciiTheme="minorHAnsi" w:hAnsiTheme="minorHAnsi"/>
                <w:u w:val="single"/>
              </w:rPr>
              <w:t xml:space="preserve"> emisyjności</w:t>
            </w:r>
            <w:r w:rsidRPr="00790ED5">
              <w:rPr>
                <w:rFonts w:asciiTheme="minorHAnsi" w:hAnsiTheme="minorHAnsi"/>
                <w:vertAlign w:val="superscript"/>
              </w:rPr>
              <w:t>*</w:t>
            </w:r>
            <w:r w:rsidR="00497FC8">
              <w:rPr>
                <w:rFonts w:asciiTheme="minorHAnsi" w:hAnsiTheme="minorHAnsi"/>
                <w:vertAlign w:val="superscript"/>
              </w:rPr>
              <w:t xml:space="preserve"> </w:t>
            </w:r>
            <w:r w:rsidRPr="00497FC8">
              <w:rPr>
                <w:rFonts w:asciiTheme="minorHAnsi" w:hAnsiTheme="minorHAnsi"/>
              </w:rPr>
              <w:t>0,812 Mg CO</w:t>
            </w:r>
            <w:r w:rsidRPr="00497FC8">
              <w:rPr>
                <w:rFonts w:asciiTheme="minorHAnsi" w:hAnsiTheme="minorHAnsi"/>
                <w:vertAlign w:val="subscript"/>
              </w:rPr>
              <w:t>2</w:t>
            </w:r>
            <w:r w:rsidR="00497FC8">
              <w:rPr>
                <w:rFonts w:asciiTheme="minorHAnsi" w:hAnsiTheme="minorHAnsi"/>
              </w:rPr>
              <w:t>/MWh.</w:t>
            </w:r>
          </w:p>
          <w:p w:rsidR="008B28F0" w:rsidRPr="00497FC8" w:rsidRDefault="008B28F0" w:rsidP="00497FC8">
            <w:pPr>
              <w:spacing w:after="120" w:line="240" w:lineRule="auto"/>
              <w:jc w:val="both"/>
            </w:pPr>
            <w:r w:rsidRPr="00790ED5">
              <w:rPr>
                <w:rFonts w:asciiTheme="minorHAnsi" w:hAnsiTheme="minorHAnsi"/>
                <w:vertAlign w:val="superscript"/>
              </w:rPr>
              <w:t>*</w:t>
            </w:r>
            <w:r w:rsidR="00497FC8">
              <w:rPr>
                <w:rFonts w:asciiTheme="minorHAnsi" w:hAnsiTheme="minorHAnsi"/>
                <w:sz w:val="18"/>
                <w:szCs w:val="18"/>
              </w:rPr>
              <w:t>Współczynnik</w:t>
            </w:r>
            <w:r w:rsidRPr="00563654">
              <w:rPr>
                <w:rFonts w:asciiTheme="minorHAnsi" w:hAnsiTheme="minorHAnsi"/>
                <w:sz w:val="18"/>
                <w:szCs w:val="18"/>
              </w:rPr>
              <w:t xml:space="preserve"> przyjęto zgodnie z wytycznymi Krajowego Ośrodka Bilansowania i Zarządzania Emisjami (energia elektryczna – wspó</w:t>
            </w:r>
            <w:r w:rsidR="00497FC8">
              <w:rPr>
                <w:rFonts w:asciiTheme="minorHAnsi" w:hAnsiTheme="minorHAnsi"/>
                <w:sz w:val="18"/>
                <w:szCs w:val="18"/>
              </w:rPr>
              <w:t>łczynnik referencyjny dla KSE</w:t>
            </w:r>
            <w:r w:rsidRPr="00563654">
              <w:rPr>
                <w:rFonts w:asciiTheme="minorHAnsi" w:hAnsiTheme="minorHAnsi"/>
                <w:sz w:val="18"/>
                <w:szCs w:val="18"/>
              </w:rPr>
              <w:t>).</w:t>
            </w:r>
          </w:p>
        </w:tc>
      </w:tr>
      <w:tr w:rsidR="000E32B0" w:rsidRPr="000E32B0" w:rsidTr="000E32B0">
        <w:trPr>
          <w:trHeight w:val="535"/>
        </w:trPr>
        <w:tc>
          <w:tcPr>
            <w:tcW w:w="9214" w:type="dxa"/>
            <w:gridSpan w:val="4"/>
            <w:shd w:val="clear" w:color="auto" w:fill="F2F2F2"/>
            <w:vAlign w:val="center"/>
          </w:tcPr>
          <w:p w:rsidR="000E32B0" w:rsidRPr="000E32B0" w:rsidRDefault="000E32B0" w:rsidP="000E32B0">
            <w:pPr>
              <w:spacing w:after="0" w:line="240" w:lineRule="auto"/>
              <w:jc w:val="center"/>
              <w:rPr>
                <w:rFonts w:asciiTheme="minorHAnsi" w:hAnsiTheme="minorHAnsi" w:cs="Arial"/>
                <w:b/>
              </w:rPr>
            </w:pPr>
            <w:r w:rsidRPr="000E32B0">
              <w:rPr>
                <w:rFonts w:asciiTheme="minorHAnsi" w:hAnsiTheme="minorHAnsi" w:cs="Arial"/>
                <w:b/>
              </w:rPr>
              <w:lastRenderedPageBreak/>
              <w:t>Wskaźnik produktu</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rsidR="000E32B0" w:rsidRPr="00A953E8" w:rsidRDefault="006B3B5F" w:rsidP="00A953E8">
            <w:pPr>
              <w:pStyle w:val="Nagwek3"/>
              <w:spacing w:before="120" w:after="120" w:line="240" w:lineRule="auto"/>
              <w:jc w:val="center"/>
              <w:rPr>
                <w:rFonts w:asciiTheme="minorHAnsi" w:eastAsia="Times New Roman" w:hAnsiTheme="minorHAnsi"/>
                <w:b w:val="0"/>
                <w:color w:val="auto"/>
                <w:lang w:eastAsia="pl-PL"/>
              </w:rPr>
            </w:pPr>
            <w:r w:rsidRPr="00A953E8">
              <w:rPr>
                <w:rFonts w:asciiTheme="minorHAnsi" w:hAnsiTheme="minorHAnsi"/>
                <w:color w:val="auto"/>
              </w:rPr>
              <w:t>Liczba wybudowanych punktów oświetleniowych</w:t>
            </w:r>
          </w:p>
        </w:tc>
        <w:tc>
          <w:tcPr>
            <w:tcW w:w="1519" w:type="dxa"/>
            <w:shd w:val="clear" w:color="auto" w:fill="FFFFFF"/>
            <w:vAlign w:val="center"/>
          </w:tcPr>
          <w:p w:rsidR="000E32B0" w:rsidRPr="000E32B0" w:rsidRDefault="006B3B5F" w:rsidP="000E32B0">
            <w:pPr>
              <w:spacing w:after="0" w:line="240" w:lineRule="auto"/>
              <w:jc w:val="center"/>
              <w:rPr>
                <w:rFonts w:asciiTheme="minorHAnsi" w:hAnsiTheme="minorHAnsi" w:cs="Arial"/>
              </w:rPr>
            </w:pPr>
            <w:r>
              <w:t>szt.</w:t>
            </w:r>
          </w:p>
        </w:tc>
        <w:tc>
          <w:tcPr>
            <w:tcW w:w="4551" w:type="dxa"/>
            <w:shd w:val="clear" w:color="auto" w:fill="FFFFFF"/>
            <w:vAlign w:val="center"/>
          </w:tcPr>
          <w:p w:rsidR="00A953E8" w:rsidRDefault="006B3B5F" w:rsidP="00A953E8">
            <w:pPr>
              <w:spacing w:after="120" w:line="240" w:lineRule="auto"/>
              <w:jc w:val="both"/>
            </w:pPr>
            <w:r>
              <w:t xml:space="preserve">Liczba punktów oświetleniowych </w:t>
            </w:r>
            <w:r w:rsidR="00A953E8">
              <w:t>wybudowanych w ramach projektu.</w:t>
            </w:r>
          </w:p>
          <w:p w:rsidR="000E32B0" w:rsidRPr="000E32B0" w:rsidRDefault="006B3B5F" w:rsidP="00244AB9">
            <w:pPr>
              <w:spacing w:after="0" w:line="240" w:lineRule="auto"/>
              <w:jc w:val="both"/>
              <w:rPr>
                <w:rFonts w:asciiTheme="minorHAnsi" w:eastAsia="Times New Roman" w:hAnsiTheme="minorHAnsi"/>
                <w:lang w:eastAsia="pl-PL"/>
              </w:rPr>
            </w:pPr>
            <w:r>
              <w:t>Przez punkt oświetleniowy rozumie się oprawę oświetleniową wraz ze źródłami światła.</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rsidR="000E32B0" w:rsidRPr="00A953E8" w:rsidRDefault="006B3B5F" w:rsidP="00A953E8">
            <w:pPr>
              <w:pStyle w:val="Nagwek3"/>
              <w:spacing w:before="120" w:after="120" w:line="240" w:lineRule="auto"/>
              <w:jc w:val="center"/>
              <w:rPr>
                <w:rFonts w:asciiTheme="minorHAnsi" w:eastAsia="Times New Roman" w:hAnsiTheme="minorHAnsi"/>
                <w:b w:val="0"/>
                <w:color w:val="auto"/>
                <w:lang w:eastAsia="pl-PL"/>
              </w:rPr>
            </w:pPr>
            <w:r w:rsidRPr="00A953E8">
              <w:rPr>
                <w:rFonts w:asciiTheme="minorHAnsi" w:hAnsiTheme="minorHAnsi"/>
                <w:color w:val="auto"/>
              </w:rPr>
              <w:t>Liczba przebudowanych punktów oświetleniowych</w:t>
            </w:r>
          </w:p>
        </w:tc>
        <w:tc>
          <w:tcPr>
            <w:tcW w:w="1519" w:type="dxa"/>
            <w:shd w:val="clear" w:color="auto" w:fill="FFFFFF"/>
            <w:vAlign w:val="center"/>
          </w:tcPr>
          <w:p w:rsidR="000E32B0" w:rsidRPr="000E32B0" w:rsidRDefault="006B3B5F" w:rsidP="000E32B0">
            <w:pPr>
              <w:spacing w:after="0" w:line="240" w:lineRule="auto"/>
              <w:jc w:val="center"/>
              <w:rPr>
                <w:rFonts w:asciiTheme="minorHAnsi" w:hAnsiTheme="minorHAnsi" w:cs="Arial"/>
              </w:rPr>
            </w:pPr>
            <w:r>
              <w:t>szt.</w:t>
            </w:r>
          </w:p>
        </w:tc>
        <w:tc>
          <w:tcPr>
            <w:tcW w:w="4551" w:type="dxa"/>
            <w:shd w:val="clear" w:color="auto" w:fill="FFFFFF"/>
            <w:vAlign w:val="center"/>
          </w:tcPr>
          <w:p w:rsidR="00A953E8" w:rsidRDefault="006B3B5F" w:rsidP="00A953E8">
            <w:pPr>
              <w:spacing w:after="120" w:line="240" w:lineRule="auto"/>
              <w:jc w:val="both"/>
            </w:pPr>
            <w:r>
              <w:t>Liczba punktów oświetleniowych pr</w:t>
            </w:r>
            <w:r w:rsidR="00A953E8">
              <w:t>zebudowanych w ramach projektu.</w:t>
            </w:r>
          </w:p>
          <w:p w:rsidR="00A51E92" w:rsidRPr="00A51E92" w:rsidRDefault="006B3B5F" w:rsidP="00A51E92">
            <w:pPr>
              <w:spacing w:after="0" w:line="240" w:lineRule="auto"/>
              <w:jc w:val="both"/>
              <w:rPr>
                <w:rFonts w:asciiTheme="minorHAnsi" w:eastAsia="Times New Roman" w:hAnsiTheme="minorHAnsi"/>
                <w:lang w:eastAsia="pl-PL"/>
              </w:rPr>
            </w:pPr>
            <w:r>
              <w:t>Przez punkt oświetleniowy rozumie się oprawę oświetleniową wraz ze źródłami światła.</w:t>
            </w:r>
          </w:p>
        </w:tc>
      </w:tr>
      <w:tr w:rsidR="00BA31B8" w:rsidRPr="000E32B0" w:rsidTr="00BA31B8">
        <w:trPr>
          <w:trHeight w:val="575"/>
        </w:trPr>
        <w:tc>
          <w:tcPr>
            <w:tcW w:w="9214" w:type="dxa"/>
            <w:gridSpan w:val="4"/>
            <w:shd w:val="clear" w:color="auto" w:fill="F2F2F2" w:themeFill="background1" w:themeFillShade="F2"/>
            <w:vAlign w:val="center"/>
          </w:tcPr>
          <w:p w:rsidR="00BA31B8" w:rsidRPr="000E32B0" w:rsidRDefault="00BA31B8" w:rsidP="00BA31B8">
            <w:pPr>
              <w:spacing w:after="0" w:line="240" w:lineRule="auto"/>
              <w:jc w:val="center"/>
              <w:rPr>
                <w:rFonts w:asciiTheme="minorHAnsi" w:hAnsiTheme="minorHAnsi" w:cs="Arial"/>
              </w:rPr>
            </w:pPr>
            <w:r>
              <w:rPr>
                <w:rFonts w:asciiTheme="minorHAnsi" w:hAnsiTheme="minorHAnsi" w:cs="Arial"/>
                <w:b/>
              </w:rPr>
              <w:t>Horyzontalny wskaźnik produktu</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obiektów dostosowanych do potrzeb osób z niepełnosprawnościami</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rsidR="004F04EB" w:rsidRDefault="004F04EB" w:rsidP="004F04EB">
            <w:pPr>
              <w:spacing w:after="120" w:line="240" w:lineRule="auto"/>
              <w:jc w:val="both"/>
            </w:pPr>
            <w:r>
              <w:t xml:space="preserve">Wskaźnik odnosi się do liczby obiektów, które zaopatrzono w specjalne podjazdy, windy, urządzenia głośnomówiące, bądź inne rozwiązania umożliwiające dostęp (tj. usunięcie barier w dostępie, w szczególności barier architektonicznych) do tych obiektów </w:t>
            </w:r>
            <w:r>
              <w:br/>
              <w:t xml:space="preserve">i poruszanie się po nich osobom </w:t>
            </w:r>
            <w:r>
              <w:br/>
              <w:t xml:space="preserve">z niepełnosprawnościami ruchowymi czy sensorycznymi. Jako obiekty budowlane należy rozumieć konstrukcje połączone z gruntem </w:t>
            </w:r>
            <w:r>
              <w:br/>
              <w:t>w sposób trwały, wykonane z materiałów budowlanych i elementów składowych, będące wynikiem prac budowlanych.</w:t>
            </w:r>
          </w:p>
          <w:p w:rsidR="00BA31B8" w:rsidRPr="000E32B0" w:rsidRDefault="004F04EB" w:rsidP="00FD1DCA">
            <w:pPr>
              <w:spacing w:after="0" w:line="240" w:lineRule="auto"/>
              <w:jc w:val="both"/>
              <w:rPr>
                <w:rFonts w:asciiTheme="minorHAnsi" w:hAnsiTheme="minorHAnsi" w:cs="Arial"/>
              </w:rPr>
            </w:pPr>
            <w:r>
              <w:t xml:space="preserve">Należy podać liczbę obiektów, w których zastosowano rozwiązania umożliwiające dostęp osobom z niepełnosprawnościami ruchowymi czy sensorycznymi lub zaopatrzonych w sprzęt, a nie liczbę sprzętów, urządzeń itp. Jeśli instytucja, zakład itp. składa się z kilku obiektów, należy zliczyć wszystkie, które dostosowano do potrzeb osób </w:t>
            </w:r>
            <w:r>
              <w:br/>
              <w:t xml:space="preserve">z niepełnosprawnościami. Wskaźnik mierzony </w:t>
            </w:r>
            <w:r>
              <w:br/>
              <w:t xml:space="preserve">w momencie rozliczenia wydatku związanego </w:t>
            </w:r>
            <w:r>
              <w:br/>
              <w:t xml:space="preserve">z dostosowaniem obiektów do potrzeb osób </w:t>
            </w:r>
            <w:r>
              <w:br/>
            </w:r>
            <w:r>
              <w:lastRenderedPageBreak/>
              <w:t>z niepełnosprawnościami w ramach danego projektu</w:t>
            </w:r>
            <w:r w:rsidR="00E02D92">
              <w:rPr>
                <w:rStyle w:val="Odwoanieprzypisudolnego"/>
              </w:rPr>
              <w:footnoteReference w:id="1"/>
            </w:r>
            <w:r>
              <w:t>.</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lastRenderedPageBreak/>
              <w:t>2</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osób objętych szkoleniami / doradztwem w zakresie kompetencji cyfrowych</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osoby</w:t>
            </w:r>
          </w:p>
        </w:tc>
        <w:tc>
          <w:tcPr>
            <w:tcW w:w="4551" w:type="dxa"/>
            <w:shd w:val="clear" w:color="auto" w:fill="FFFFFF"/>
            <w:vAlign w:val="center"/>
          </w:tcPr>
          <w:p w:rsidR="004F04EB" w:rsidRDefault="004F04EB" w:rsidP="004F04EB">
            <w:pPr>
              <w:spacing w:after="120" w:line="240" w:lineRule="auto"/>
              <w:jc w:val="both"/>
            </w:pPr>
            <w:r>
              <w:t xml:space="preserve">Wskaźnik mierzy liczbę osób objętych szkoleniami/doradztwem w zakresie nabywania/doskonalenia umiejętności warunkujących efektywne korzystanie z mediów elektronicznych, tj. m.in. korzystania </w:t>
            </w:r>
            <w:r>
              <w:br/>
              <w:t xml:space="preserve">z komputera, różnych rodzajów oprogramowania, </w:t>
            </w:r>
            <w:proofErr w:type="spellStart"/>
            <w:r>
              <w:t>internetu</w:t>
            </w:r>
            <w:proofErr w:type="spellEnd"/>
            <w:r>
              <w:t xml:space="preserve"> oraz kompetencji ściśle informatycznych (np. programowanie, zarządzanie bazami danych, administracja sieciami, administracja witrynami internetowymi).</w:t>
            </w:r>
          </w:p>
          <w:p w:rsidR="00BA31B8" w:rsidRPr="000E32B0" w:rsidRDefault="004F04EB" w:rsidP="00FD1DCA">
            <w:pPr>
              <w:spacing w:after="0" w:line="240" w:lineRule="auto"/>
              <w:jc w:val="both"/>
              <w:rPr>
                <w:rFonts w:asciiTheme="minorHAnsi" w:hAnsiTheme="minorHAnsi" w:cs="Arial"/>
              </w:rPr>
            </w:pPr>
            <w:r>
              <w:t>Wskaźnik ma agregować wszystkie osoby, które skorzystały ze wsparcia w zakresie TIK we wszystkich programach i 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t>3</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 xml:space="preserve">Liczba projektów, </w:t>
            </w:r>
            <w:r w:rsidR="00792457" w:rsidRPr="00A139A2">
              <w:rPr>
                <w:rFonts w:asciiTheme="minorHAnsi" w:hAnsiTheme="minorHAnsi"/>
                <w:color w:val="auto"/>
              </w:rPr>
              <w:br/>
            </w:r>
            <w:r w:rsidRPr="00A139A2">
              <w:rPr>
                <w:rFonts w:asciiTheme="minorHAnsi" w:hAnsiTheme="minorHAnsi"/>
                <w:color w:val="auto"/>
              </w:rPr>
              <w:t>w których sfinansowano koszty racjonalnych usprawnień dla osób z niepełnosprawnościami</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rsidR="004F04EB" w:rsidRDefault="004F04EB" w:rsidP="004F04EB">
            <w:pPr>
              <w:spacing w:after="120" w:line="240" w:lineRule="auto"/>
              <w:jc w:val="both"/>
            </w:pPr>
            <w:r>
              <w:t xml:space="preserve">Racjonalne usprawnienie oznacza konieczne </w:t>
            </w:r>
            <w:r w:rsidR="00CB600C">
              <w:br/>
            </w:r>
            <w:r>
              <w:t xml:space="preserve">i odpowiednie zmiany oraz dostosowania, nie nakładające nieproporcjonalnego lub nadmiernego obciążenia, rozpatrywane osobno dla każdego konkretnego przypadku, </w:t>
            </w:r>
            <w:r w:rsidR="00CB600C">
              <w:br/>
            </w:r>
            <w:r>
              <w:t xml:space="preserve">w celu zapewnienia osobom </w:t>
            </w:r>
            <w:r w:rsidR="00CB600C">
              <w:br/>
            </w:r>
            <w:r>
              <w:t xml:space="preserve">z niepełnosprawnościami możliwości korzystania z wszelkich praw człowieka </w:t>
            </w:r>
            <w:r w:rsidR="00CB600C">
              <w:br/>
            </w:r>
            <w:r>
              <w:t>i podstawowych wolności oraz ich wykonywania na zasadzie równości z innymi osobami.</w:t>
            </w:r>
          </w:p>
          <w:p w:rsidR="00BA31B8" w:rsidRPr="000E32B0" w:rsidRDefault="004F04EB" w:rsidP="00FD1DCA">
            <w:pPr>
              <w:spacing w:after="0" w:line="240" w:lineRule="auto"/>
              <w:jc w:val="both"/>
              <w:rPr>
                <w:rFonts w:asciiTheme="minorHAnsi" w:hAnsiTheme="minorHAnsi" w:cs="Arial"/>
              </w:rPr>
            </w:pPr>
            <w:r>
              <w:t xml:space="preserve">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w:t>
            </w:r>
            <w:r>
              <w:lastRenderedPageBreak/>
              <w:t>Braille'a), osoby asystujące, odpowiednie dostosowanie wyżywienia</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lastRenderedPageBreak/>
              <w:t>4</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podmiotów wykorzystujących technologie informacyjno-komunikacyjne</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rsidR="00BB1ED4" w:rsidRDefault="004F04EB" w:rsidP="00BB1ED4">
            <w:pPr>
              <w:spacing w:after="120" w:line="240" w:lineRule="auto"/>
              <w:jc w:val="both"/>
            </w:pPr>
            <w:r>
              <w:t xml:space="preserve">Wskaźnik mierzy liczbę podmiotów, które </w:t>
            </w:r>
            <w:r w:rsidR="00CB600C">
              <w:br/>
            </w:r>
            <w:r>
              <w:t xml:space="preserve">w celu realizacji projektu, zainwestowały </w:t>
            </w:r>
            <w:r w:rsidR="00CB600C">
              <w:br/>
            </w:r>
            <w:r>
              <w:t>w technologie informacyjno-komunikacyjne</w:t>
            </w:r>
            <w:r w:rsidR="00C47F90">
              <w:t xml:space="preserve"> (TIK)</w:t>
            </w:r>
            <w:r>
              <w:t>, a w przypadku projektów edukacyjno</w:t>
            </w:r>
            <w:r w:rsidR="00CB600C">
              <w:t>-</w:t>
            </w:r>
            <w:r>
              <w:t xml:space="preserve">szkoleniowych, również podmiotów, które podjęły działania upowszechniające wykorzystanie TIK. </w:t>
            </w:r>
          </w:p>
          <w:p w:rsidR="00BB1ED4" w:rsidRDefault="004F04EB" w:rsidP="00BB1ED4">
            <w:pPr>
              <w:spacing w:after="120" w:line="240" w:lineRule="auto"/>
              <w:jc w:val="both"/>
            </w:pPr>
            <w:r>
              <w:t xml:space="preserve">Przez technologie informacyjno-komunikacyjne (ang. ICT Information and </w:t>
            </w:r>
            <w:proofErr w:type="spellStart"/>
            <w:r>
              <w:t>CommunicationsTechnology</w:t>
            </w:r>
            <w:proofErr w:type="spellEnd"/>
            <w:r>
              <w:t xml:space="preserve">) należy rozumieć technologie pozyskiwania/produkcji, gromadzenia/przechowywania, przesyłania, przetwarzania i rozpowszechniania informacji </w:t>
            </w:r>
            <w:r w:rsidR="00CB600C">
              <w:br/>
            </w:r>
            <w:r>
              <w:t xml:space="preserve">w formie elektronicznej z wykorzystaniem technik cyfrowych i wszelkich narzędzi komunikacji elektronicznej oraz wszelkie działania związane z produkcją </w:t>
            </w:r>
            <w:r w:rsidR="00CB600C">
              <w:br/>
            </w:r>
            <w:r w:rsidR="00964E77">
              <w:t xml:space="preserve">i wykorzystaniem urządzeń </w:t>
            </w:r>
            <w:r>
              <w:t xml:space="preserve">telekomunikacyjnych i informatycznych oraz usług im towarzyszących; działania edukacyjne </w:t>
            </w:r>
            <w:r w:rsidR="00CB600C">
              <w:br/>
            </w:r>
            <w:r>
              <w:t>i szkoleniowe. W przypadku gdy beneficjentem pozostaje jeden podmiot, we wsk</w:t>
            </w:r>
            <w:r w:rsidR="00BB1ED4">
              <w:t>aźniku należy ująć wartość „1”.</w:t>
            </w:r>
          </w:p>
          <w:p w:rsidR="00BA31B8" w:rsidRPr="000E32B0" w:rsidRDefault="004F04EB" w:rsidP="00FD1DCA">
            <w:pPr>
              <w:spacing w:after="0" w:line="240" w:lineRule="auto"/>
              <w:jc w:val="both"/>
              <w:rPr>
                <w:rFonts w:asciiTheme="minorHAnsi" w:hAnsiTheme="minorHAnsi" w:cs="Arial"/>
              </w:rPr>
            </w:pPr>
            <w:r>
              <w:t xml:space="preserve">W przypadku gdy projekt jest realizowany przez partnerstwo podmiotów, w wartości wskaźnika należy ująć każdy z podmiotów wchodzących </w:t>
            </w:r>
            <w:r w:rsidR="00CB600C">
              <w:br/>
            </w:r>
            <w:r>
              <w:t>w skład partnerstwa, który wdrożył w swojej działalności narzędzia TIK.</w:t>
            </w:r>
          </w:p>
        </w:tc>
      </w:tr>
    </w:tbl>
    <w:p w:rsidR="00855C79" w:rsidRDefault="00855C79"/>
    <w:sectPr w:rsidR="00855C79" w:rsidSect="00683050">
      <w:footerReference w:type="default" r:id="rId8"/>
      <w:pgSz w:w="11906" w:h="16838"/>
      <w:pgMar w:top="1417" w:right="28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0F4D" w:rsidRDefault="00F90F4D" w:rsidP="00EC621B">
      <w:pPr>
        <w:spacing w:after="0" w:line="240" w:lineRule="auto"/>
      </w:pPr>
      <w:r>
        <w:separator/>
      </w:r>
    </w:p>
  </w:endnote>
  <w:endnote w:type="continuationSeparator" w:id="0">
    <w:p w:rsidR="00F90F4D" w:rsidRDefault="00F90F4D" w:rsidP="00EC6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Garamond,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21315"/>
      <w:docPartObj>
        <w:docPartGallery w:val="Page Numbers (Bottom of Page)"/>
        <w:docPartUnique/>
      </w:docPartObj>
    </w:sdtPr>
    <w:sdtEndPr/>
    <w:sdtContent>
      <w:p w:rsidR="00F90F4D" w:rsidRDefault="000B616B">
        <w:pPr>
          <w:pStyle w:val="Stopka"/>
          <w:jc w:val="center"/>
        </w:pPr>
        <w:r>
          <w:fldChar w:fldCharType="begin"/>
        </w:r>
        <w:r w:rsidR="009C5E7F">
          <w:instrText xml:space="preserve"> PAGE   \* MERGEFORMAT </w:instrText>
        </w:r>
        <w:r>
          <w:fldChar w:fldCharType="separate"/>
        </w:r>
        <w:r w:rsidR="009168EE">
          <w:rPr>
            <w:noProof/>
          </w:rPr>
          <w:t>1</w:t>
        </w:r>
        <w:r>
          <w:rPr>
            <w:noProof/>
          </w:rPr>
          <w:fldChar w:fldCharType="end"/>
        </w:r>
      </w:p>
    </w:sdtContent>
  </w:sdt>
  <w:p w:rsidR="00F90F4D" w:rsidRDefault="00F90F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0F4D" w:rsidRDefault="00F90F4D" w:rsidP="00EC621B">
      <w:pPr>
        <w:spacing w:after="0" w:line="240" w:lineRule="auto"/>
      </w:pPr>
      <w:r>
        <w:separator/>
      </w:r>
    </w:p>
  </w:footnote>
  <w:footnote w:type="continuationSeparator" w:id="0">
    <w:p w:rsidR="00F90F4D" w:rsidRDefault="00F90F4D" w:rsidP="00EC621B">
      <w:pPr>
        <w:spacing w:after="0" w:line="240" w:lineRule="auto"/>
      </w:pPr>
      <w:r>
        <w:continuationSeparator/>
      </w:r>
    </w:p>
  </w:footnote>
  <w:footnote w:id="1">
    <w:p w:rsidR="00E02D92" w:rsidRDefault="00E02D92" w:rsidP="00E02D92">
      <w:pPr>
        <w:pStyle w:val="Tekstprzypisudolnego"/>
        <w:ind w:right="-1559"/>
      </w:pPr>
      <w:r>
        <w:rPr>
          <w:rStyle w:val="Odwoanieprzypisudolnego"/>
        </w:rPr>
        <w:footnoteRef/>
      </w:r>
      <w:r>
        <w:t xml:space="preserve"> </w:t>
      </w:r>
      <w:r>
        <w:rPr>
          <w:bCs/>
          <w:sz w:val="16"/>
          <w:szCs w:val="16"/>
        </w:rPr>
        <w:t>Wnioskodawca jest zobowiązany do wybrania tego wskaźnika oraz wskazania jego wartości docelowej jeżeli projekt ma pozytywny wpływ na zasadę równości szans i niedyskryminacji.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735AC"/>
    <w:multiLevelType w:val="hybridMultilevel"/>
    <w:tmpl w:val="8DE4DC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E244A8"/>
    <w:multiLevelType w:val="hybridMultilevel"/>
    <w:tmpl w:val="B9F81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44E20DA"/>
    <w:multiLevelType w:val="hybridMultilevel"/>
    <w:tmpl w:val="001A6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3050"/>
    <w:rsid w:val="00034608"/>
    <w:rsid w:val="000B616B"/>
    <w:rsid w:val="000D7119"/>
    <w:rsid w:val="000E32B0"/>
    <w:rsid w:val="001474D3"/>
    <w:rsid w:val="001C2540"/>
    <w:rsid w:val="002140B0"/>
    <w:rsid w:val="00242D5C"/>
    <w:rsid w:val="00244AB9"/>
    <w:rsid w:val="0029672A"/>
    <w:rsid w:val="002F335D"/>
    <w:rsid w:val="003264DD"/>
    <w:rsid w:val="00371948"/>
    <w:rsid w:val="003E7046"/>
    <w:rsid w:val="003F7E2A"/>
    <w:rsid w:val="00445077"/>
    <w:rsid w:val="0048317E"/>
    <w:rsid w:val="00497FC8"/>
    <w:rsid w:val="004F04EB"/>
    <w:rsid w:val="004F2F17"/>
    <w:rsid w:val="005534AA"/>
    <w:rsid w:val="00563654"/>
    <w:rsid w:val="0056534A"/>
    <w:rsid w:val="005D0158"/>
    <w:rsid w:val="005F7C4D"/>
    <w:rsid w:val="00683050"/>
    <w:rsid w:val="006B3B5F"/>
    <w:rsid w:val="00761B2A"/>
    <w:rsid w:val="00767A34"/>
    <w:rsid w:val="00780D47"/>
    <w:rsid w:val="00790ED5"/>
    <w:rsid w:val="00792457"/>
    <w:rsid w:val="007A7DFB"/>
    <w:rsid w:val="00814727"/>
    <w:rsid w:val="00855C79"/>
    <w:rsid w:val="00891C7A"/>
    <w:rsid w:val="0089594B"/>
    <w:rsid w:val="008B28F0"/>
    <w:rsid w:val="00914FF8"/>
    <w:rsid w:val="009168EE"/>
    <w:rsid w:val="00964E77"/>
    <w:rsid w:val="009C5E7F"/>
    <w:rsid w:val="00A139A2"/>
    <w:rsid w:val="00A51E92"/>
    <w:rsid w:val="00A714F6"/>
    <w:rsid w:val="00A953E8"/>
    <w:rsid w:val="00AE602C"/>
    <w:rsid w:val="00BA31B8"/>
    <w:rsid w:val="00BA58D4"/>
    <w:rsid w:val="00BB1ED4"/>
    <w:rsid w:val="00BE099D"/>
    <w:rsid w:val="00C47F90"/>
    <w:rsid w:val="00C70445"/>
    <w:rsid w:val="00CB02FA"/>
    <w:rsid w:val="00CB600C"/>
    <w:rsid w:val="00DD3D05"/>
    <w:rsid w:val="00E01BED"/>
    <w:rsid w:val="00E02D92"/>
    <w:rsid w:val="00E13FCB"/>
    <w:rsid w:val="00E4141D"/>
    <w:rsid w:val="00E61954"/>
    <w:rsid w:val="00E77943"/>
    <w:rsid w:val="00EA52E4"/>
    <w:rsid w:val="00EC621B"/>
    <w:rsid w:val="00EF215C"/>
    <w:rsid w:val="00F30B21"/>
    <w:rsid w:val="00F64950"/>
    <w:rsid w:val="00F851BD"/>
    <w:rsid w:val="00F90F4D"/>
    <w:rsid w:val="00FA4C23"/>
    <w:rsid w:val="00FB03DE"/>
    <w:rsid w:val="00FB431B"/>
    <w:rsid w:val="00FC69CE"/>
    <w:rsid w:val="00FD1D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E4369"/>
  <w15:docId w15:val="{1376006D-7E31-40FB-9253-02784FA07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276"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050"/>
    <w:pPr>
      <w:spacing w:after="200"/>
      <w:ind w:firstLine="0"/>
    </w:pPr>
    <w:rPr>
      <w:rFonts w:ascii="Calibri" w:eastAsia="Calibri" w:hAnsi="Calibri" w:cs="Times New Roman"/>
    </w:rPr>
  </w:style>
  <w:style w:type="paragraph" w:styleId="Nagwek2">
    <w:name w:val="heading 2"/>
    <w:basedOn w:val="Normalny"/>
    <w:next w:val="Normalny"/>
    <w:link w:val="Nagwek2Znak"/>
    <w:qFormat/>
    <w:rsid w:val="00683050"/>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6830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83050"/>
    <w:rPr>
      <w:rFonts w:ascii="Tahoma" w:eastAsia="Times New Roman" w:hAnsi="Tahoma" w:cs="Times New Roman"/>
      <w:b/>
      <w:sz w:val="20"/>
      <w:szCs w:val="24"/>
    </w:rPr>
  </w:style>
  <w:style w:type="paragraph" w:customStyle="1" w:styleId="Default">
    <w:name w:val="Default"/>
    <w:rsid w:val="00683050"/>
    <w:pPr>
      <w:autoSpaceDE w:val="0"/>
      <w:autoSpaceDN w:val="0"/>
      <w:adjustRightInd w:val="0"/>
      <w:spacing w:line="240" w:lineRule="auto"/>
      <w:ind w:firstLine="0"/>
    </w:pPr>
    <w:rPr>
      <w:rFonts w:ascii="Calibri" w:eastAsia="Calibri" w:hAnsi="Calibri" w:cs="Calibri"/>
      <w:color w:val="000000"/>
      <w:sz w:val="24"/>
      <w:szCs w:val="24"/>
      <w:lang w:eastAsia="pl-PL"/>
    </w:rPr>
  </w:style>
  <w:style w:type="character" w:customStyle="1" w:styleId="Nagwek3Znak">
    <w:name w:val="Nagłówek 3 Znak"/>
    <w:basedOn w:val="Domylnaczcionkaakapitu"/>
    <w:link w:val="Nagwek3"/>
    <w:uiPriority w:val="9"/>
    <w:semiHidden/>
    <w:rsid w:val="00683050"/>
    <w:rPr>
      <w:rFonts w:asciiTheme="majorHAnsi" w:eastAsiaTheme="majorEastAsia" w:hAnsiTheme="majorHAnsi" w:cstheme="majorBidi"/>
      <w:b/>
      <w:bCs/>
      <w:color w:val="4F81BD" w:themeColor="accent1"/>
    </w:rPr>
  </w:style>
  <w:style w:type="paragraph" w:styleId="Akapitzlist">
    <w:name w:val="List Paragraph"/>
    <w:basedOn w:val="Normalny"/>
    <w:uiPriority w:val="34"/>
    <w:qFormat/>
    <w:rsid w:val="00242D5C"/>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EC621B"/>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EC621B"/>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EC621B"/>
    <w:rPr>
      <w:vertAlign w:val="superscript"/>
    </w:rPr>
  </w:style>
  <w:style w:type="paragraph" w:styleId="Nagwek">
    <w:name w:val="header"/>
    <w:basedOn w:val="Normalny"/>
    <w:link w:val="NagwekZnak"/>
    <w:uiPriority w:val="99"/>
    <w:unhideWhenUsed/>
    <w:rsid w:val="00DD3D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3D05"/>
    <w:rPr>
      <w:rFonts w:ascii="Calibri" w:eastAsia="Calibri" w:hAnsi="Calibri" w:cs="Times New Roman"/>
    </w:rPr>
  </w:style>
  <w:style w:type="paragraph" w:styleId="Stopka">
    <w:name w:val="footer"/>
    <w:basedOn w:val="Normalny"/>
    <w:link w:val="StopkaZnak"/>
    <w:uiPriority w:val="99"/>
    <w:unhideWhenUsed/>
    <w:rsid w:val="00DD3D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3D05"/>
    <w:rPr>
      <w:rFonts w:ascii="Calibri" w:eastAsia="Calibri" w:hAnsi="Calibri" w:cs="Times New Roman"/>
    </w:rPr>
  </w:style>
  <w:style w:type="paragraph" w:styleId="Tekstdymka">
    <w:name w:val="Balloon Text"/>
    <w:basedOn w:val="Normalny"/>
    <w:link w:val="TekstdymkaZnak"/>
    <w:uiPriority w:val="99"/>
    <w:semiHidden/>
    <w:unhideWhenUsed/>
    <w:rsid w:val="00E02D9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02D9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040919">
      <w:bodyDiv w:val="1"/>
      <w:marLeft w:val="0"/>
      <w:marRight w:val="0"/>
      <w:marTop w:val="0"/>
      <w:marBottom w:val="0"/>
      <w:divBdr>
        <w:top w:val="none" w:sz="0" w:space="0" w:color="auto"/>
        <w:left w:val="none" w:sz="0" w:space="0" w:color="auto"/>
        <w:bottom w:val="none" w:sz="0" w:space="0" w:color="auto"/>
        <w:right w:val="none" w:sz="0" w:space="0" w:color="auto"/>
      </w:divBdr>
    </w:div>
    <w:div w:id="349794938">
      <w:bodyDiv w:val="1"/>
      <w:marLeft w:val="0"/>
      <w:marRight w:val="0"/>
      <w:marTop w:val="0"/>
      <w:marBottom w:val="0"/>
      <w:divBdr>
        <w:top w:val="none" w:sz="0" w:space="0" w:color="auto"/>
        <w:left w:val="none" w:sz="0" w:space="0" w:color="auto"/>
        <w:bottom w:val="none" w:sz="0" w:space="0" w:color="auto"/>
        <w:right w:val="none" w:sz="0" w:space="0" w:color="auto"/>
      </w:divBdr>
      <w:divsChild>
        <w:div w:id="973830166">
          <w:marLeft w:val="0"/>
          <w:marRight w:val="0"/>
          <w:marTop w:val="0"/>
          <w:marBottom w:val="0"/>
          <w:divBdr>
            <w:top w:val="none" w:sz="0" w:space="0" w:color="auto"/>
            <w:left w:val="none" w:sz="0" w:space="0" w:color="auto"/>
            <w:bottom w:val="none" w:sz="0" w:space="0" w:color="auto"/>
            <w:right w:val="none" w:sz="0" w:space="0" w:color="auto"/>
          </w:divBdr>
        </w:div>
        <w:div w:id="2133472078">
          <w:marLeft w:val="0"/>
          <w:marRight w:val="0"/>
          <w:marTop w:val="0"/>
          <w:marBottom w:val="0"/>
          <w:divBdr>
            <w:top w:val="none" w:sz="0" w:space="0" w:color="auto"/>
            <w:left w:val="none" w:sz="0" w:space="0" w:color="auto"/>
            <w:bottom w:val="none" w:sz="0" w:space="0" w:color="auto"/>
            <w:right w:val="none" w:sz="0" w:space="0" w:color="auto"/>
          </w:divBdr>
        </w:div>
        <w:div w:id="1200627156">
          <w:marLeft w:val="0"/>
          <w:marRight w:val="0"/>
          <w:marTop w:val="0"/>
          <w:marBottom w:val="0"/>
          <w:divBdr>
            <w:top w:val="none" w:sz="0" w:space="0" w:color="auto"/>
            <w:left w:val="none" w:sz="0" w:space="0" w:color="auto"/>
            <w:bottom w:val="none" w:sz="0" w:space="0" w:color="auto"/>
            <w:right w:val="none" w:sz="0" w:space="0" w:color="auto"/>
          </w:divBdr>
        </w:div>
        <w:div w:id="1280256353">
          <w:marLeft w:val="0"/>
          <w:marRight w:val="0"/>
          <w:marTop w:val="0"/>
          <w:marBottom w:val="0"/>
          <w:divBdr>
            <w:top w:val="none" w:sz="0" w:space="0" w:color="auto"/>
            <w:left w:val="none" w:sz="0" w:space="0" w:color="auto"/>
            <w:bottom w:val="none" w:sz="0" w:space="0" w:color="auto"/>
            <w:right w:val="none" w:sz="0" w:space="0" w:color="auto"/>
          </w:divBdr>
        </w:div>
        <w:div w:id="1915433634">
          <w:marLeft w:val="0"/>
          <w:marRight w:val="0"/>
          <w:marTop w:val="0"/>
          <w:marBottom w:val="0"/>
          <w:divBdr>
            <w:top w:val="none" w:sz="0" w:space="0" w:color="auto"/>
            <w:left w:val="none" w:sz="0" w:space="0" w:color="auto"/>
            <w:bottom w:val="none" w:sz="0" w:space="0" w:color="auto"/>
            <w:right w:val="none" w:sz="0" w:space="0" w:color="auto"/>
          </w:divBdr>
        </w:div>
        <w:div w:id="252058949">
          <w:marLeft w:val="0"/>
          <w:marRight w:val="0"/>
          <w:marTop w:val="0"/>
          <w:marBottom w:val="0"/>
          <w:divBdr>
            <w:top w:val="none" w:sz="0" w:space="0" w:color="auto"/>
            <w:left w:val="none" w:sz="0" w:space="0" w:color="auto"/>
            <w:bottom w:val="none" w:sz="0" w:space="0" w:color="auto"/>
            <w:right w:val="none" w:sz="0" w:space="0" w:color="auto"/>
          </w:divBdr>
        </w:div>
        <w:div w:id="44372618">
          <w:marLeft w:val="0"/>
          <w:marRight w:val="0"/>
          <w:marTop w:val="0"/>
          <w:marBottom w:val="0"/>
          <w:divBdr>
            <w:top w:val="none" w:sz="0" w:space="0" w:color="auto"/>
            <w:left w:val="none" w:sz="0" w:space="0" w:color="auto"/>
            <w:bottom w:val="none" w:sz="0" w:space="0" w:color="auto"/>
            <w:right w:val="none" w:sz="0" w:space="0" w:color="auto"/>
          </w:divBdr>
        </w:div>
        <w:div w:id="1209144235">
          <w:marLeft w:val="0"/>
          <w:marRight w:val="0"/>
          <w:marTop w:val="0"/>
          <w:marBottom w:val="0"/>
          <w:divBdr>
            <w:top w:val="none" w:sz="0" w:space="0" w:color="auto"/>
            <w:left w:val="none" w:sz="0" w:space="0" w:color="auto"/>
            <w:bottom w:val="none" w:sz="0" w:space="0" w:color="auto"/>
            <w:right w:val="none" w:sz="0" w:space="0" w:color="auto"/>
          </w:divBdr>
        </w:div>
        <w:div w:id="448553214">
          <w:marLeft w:val="0"/>
          <w:marRight w:val="0"/>
          <w:marTop w:val="0"/>
          <w:marBottom w:val="0"/>
          <w:divBdr>
            <w:top w:val="none" w:sz="0" w:space="0" w:color="auto"/>
            <w:left w:val="none" w:sz="0" w:space="0" w:color="auto"/>
            <w:bottom w:val="none" w:sz="0" w:space="0" w:color="auto"/>
            <w:right w:val="none" w:sz="0" w:space="0" w:color="auto"/>
          </w:divBdr>
        </w:div>
        <w:div w:id="189534302">
          <w:marLeft w:val="0"/>
          <w:marRight w:val="0"/>
          <w:marTop w:val="0"/>
          <w:marBottom w:val="0"/>
          <w:divBdr>
            <w:top w:val="none" w:sz="0" w:space="0" w:color="auto"/>
            <w:left w:val="none" w:sz="0" w:space="0" w:color="auto"/>
            <w:bottom w:val="none" w:sz="0" w:space="0" w:color="auto"/>
            <w:right w:val="none" w:sz="0" w:space="0" w:color="auto"/>
          </w:divBdr>
        </w:div>
        <w:div w:id="1831751993">
          <w:marLeft w:val="0"/>
          <w:marRight w:val="0"/>
          <w:marTop w:val="0"/>
          <w:marBottom w:val="0"/>
          <w:divBdr>
            <w:top w:val="none" w:sz="0" w:space="0" w:color="auto"/>
            <w:left w:val="none" w:sz="0" w:space="0" w:color="auto"/>
            <w:bottom w:val="none" w:sz="0" w:space="0" w:color="auto"/>
            <w:right w:val="none" w:sz="0" w:space="0" w:color="auto"/>
          </w:divBdr>
        </w:div>
        <w:div w:id="426460046">
          <w:marLeft w:val="0"/>
          <w:marRight w:val="0"/>
          <w:marTop w:val="0"/>
          <w:marBottom w:val="0"/>
          <w:divBdr>
            <w:top w:val="none" w:sz="0" w:space="0" w:color="auto"/>
            <w:left w:val="none" w:sz="0" w:space="0" w:color="auto"/>
            <w:bottom w:val="none" w:sz="0" w:space="0" w:color="auto"/>
            <w:right w:val="none" w:sz="0" w:space="0" w:color="auto"/>
          </w:divBdr>
        </w:div>
        <w:div w:id="1167987841">
          <w:marLeft w:val="0"/>
          <w:marRight w:val="0"/>
          <w:marTop w:val="0"/>
          <w:marBottom w:val="0"/>
          <w:divBdr>
            <w:top w:val="none" w:sz="0" w:space="0" w:color="auto"/>
            <w:left w:val="none" w:sz="0" w:space="0" w:color="auto"/>
            <w:bottom w:val="none" w:sz="0" w:space="0" w:color="auto"/>
            <w:right w:val="none" w:sz="0" w:space="0" w:color="auto"/>
          </w:divBdr>
        </w:div>
        <w:div w:id="921336377">
          <w:marLeft w:val="0"/>
          <w:marRight w:val="0"/>
          <w:marTop w:val="0"/>
          <w:marBottom w:val="0"/>
          <w:divBdr>
            <w:top w:val="none" w:sz="0" w:space="0" w:color="auto"/>
            <w:left w:val="none" w:sz="0" w:space="0" w:color="auto"/>
            <w:bottom w:val="none" w:sz="0" w:space="0" w:color="auto"/>
            <w:right w:val="none" w:sz="0" w:space="0" w:color="auto"/>
          </w:divBdr>
        </w:div>
        <w:div w:id="107240129">
          <w:marLeft w:val="0"/>
          <w:marRight w:val="0"/>
          <w:marTop w:val="0"/>
          <w:marBottom w:val="0"/>
          <w:divBdr>
            <w:top w:val="none" w:sz="0" w:space="0" w:color="auto"/>
            <w:left w:val="none" w:sz="0" w:space="0" w:color="auto"/>
            <w:bottom w:val="none" w:sz="0" w:space="0" w:color="auto"/>
            <w:right w:val="none" w:sz="0" w:space="0" w:color="auto"/>
          </w:divBdr>
        </w:div>
        <w:div w:id="1166899644">
          <w:marLeft w:val="0"/>
          <w:marRight w:val="0"/>
          <w:marTop w:val="0"/>
          <w:marBottom w:val="0"/>
          <w:divBdr>
            <w:top w:val="none" w:sz="0" w:space="0" w:color="auto"/>
            <w:left w:val="none" w:sz="0" w:space="0" w:color="auto"/>
            <w:bottom w:val="none" w:sz="0" w:space="0" w:color="auto"/>
            <w:right w:val="none" w:sz="0" w:space="0" w:color="auto"/>
          </w:divBdr>
        </w:div>
        <w:div w:id="1563520994">
          <w:marLeft w:val="0"/>
          <w:marRight w:val="0"/>
          <w:marTop w:val="0"/>
          <w:marBottom w:val="0"/>
          <w:divBdr>
            <w:top w:val="none" w:sz="0" w:space="0" w:color="auto"/>
            <w:left w:val="none" w:sz="0" w:space="0" w:color="auto"/>
            <w:bottom w:val="none" w:sz="0" w:space="0" w:color="auto"/>
            <w:right w:val="none" w:sz="0" w:space="0" w:color="auto"/>
          </w:divBdr>
        </w:div>
        <w:div w:id="1424911961">
          <w:marLeft w:val="0"/>
          <w:marRight w:val="0"/>
          <w:marTop w:val="0"/>
          <w:marBottom w:val="0"/>
          <w:divBdr>
            <w:top w:val="none" w:sz="0" w:space="0" w:color="auto"/>
            <w:left w:val="none" w:sz="0" w:space="0" w:color="auto"/>
            <w:bottom w:val="none" w:sz="0" w:space="0" w:color="auto"/>
            <w:right w:val="none" w:sz="0" w:space="0" w:color="auto"/>
          </w:divBdr>
        </w:div>
        <w:div w:id="1907956544">
          <w:marLeft w:val="0"/>
          <w:marRight w:val="0"/>
          <w:marTop w:val="0"/>
          <w:marBottom w:val="0"/>
          <w:divBdr>
            <w:top w:val="none" w:sz="0" w:space="0" w:color="auto"/>
            <w:left w:val="none" w:sz="0" w:space="0" w:color="auto"/>
            <w:bottom w:val="none" w:sz="0" w:space="0" w:color="auto"/>
            <w:right w:val="none" w:sz="0" w:space="0" w:color="auto"/>
          </w:divBdr>
        </w:div>
        <w:div w:id="1795830469">
          <w:marLeft w:val="0"/>
          <w:marRight w:val="0"/>
          <w:marTop w:val="0"/>
          <w:marBottom w:val="0"/>
          <w:divBdr>
            <w:top w:val="none" w:sz="0" w:space="0" w:color="auto"/>
            <w:left w:val="none" w:sz="0" w:space="0" w:color="auto"/>
            <w:bottom w:val="none" w:sz="0" w:space="0" w:color="auto"/>
            <w:right w:val="none" w:sz="0" w:space="0" w:color="auto"/>
          </w:divBdr>
        </w:div>
        <w:div w:id="1246572435">
          <w:marLeft w:val="0"/>
          <w:marRight w:val="0"/>
          <w:marTop w:val="0"/>
          <w:marBottom w:val="0"/>
          <w:divBdr>
            <w:top w:val="none" w:sz="0" w:space="0" w:color="auto"/>
            <w:left w:val="none" w:sz="0" w:space="0" w:color="auto"/>
            <w:bottom w:val="none" w:sz="0" w:space="0" w:color="auto"/>
            <w:right w:val="none" w:sz="0" w:space="0" w:color="auto"/>
          </w:divBdr>
        </w:div>
        <w:div w:id="635599044">
          <w:marLeft w:val="0"/>
          <w:marRight w:val="0"/>
          <w:marTop w:val="0"/>
          <w:marBottom w:val="0"/>
          <w:divBdr>
            <w:top w:val="none" w:sz="0" w:space="0" w:color="auto"/>
            <w:left w:val="none" w:sz="0" w:space="0" w:color="auto"/>
            <w:bottom w:val="none" w:sz="0" w:space="0" w:color="auto"/>
            <w:right w:val="none" w:sz="0" w:space="0" w:color="auto"/>
          </w:divBdr>
        </w:div>
        <w:div w:id="642588328">
          <w:marLeft w:val="0"/>
          <w:marRight w:val="0"/>
          <w:marTop w:val="0"/>
          <w:marBottom w:val="0"/>
          <w:divBdr>
            <w:top w:val="none" w:sz="0" w:space="0" w:color="auto"/>
            <w:left w:val="none" w:sz="0" w:space="0" w:color="auto"/>
            <w:bottom w:val="none" w:sz="0" w:space="0" w:color="auto"/>
            <w:right w:val="none" w:sz="0" w:space="0" w:color="auto"/>
          </w:divBdr>
        </w:div>
      </w:divsChild>
    </w:div>
    <w:div w:id="528029243">
      <w:bodyDiv w:val="1"/>
      <w:marLeft w:val="0"/>
      <w:marRight w:val="0"/>
      <w:marTop w:val="0"/>
      <w:marBottom w:val="0"/>
      <w:divBdr>
        <w:top w:val="none" w:sz="0" w:space="0" w:color="auto"/>
        <w:left w:val="none" w:sz="0" w:space="0" w:color="auto"/>
        <w:bottom w:val="none" w:sz="0" w:space="0" w:color="auto"/>
        <w:right w:val="none" w:sz="0" w:space="0" w:color="auto"/>
      </w:divBdr>
    </w:div>
    <w:div w:id="213347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100726-4E48-42E1-8D73-B9C7B8947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1063</Words>
  <Characters>6384</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j.pakalska</dc:creator>
  <cp:keywords/>
  <dc:description/>
  <cp:lastModifiedBy>Przemysław Mentkowski</cp:lastModifiedBy>
  <cp:revision>6</cp:revision>
  <dcterms:created xsi:type="dcterms:W3CDTF">2019-04-16T12:13:00Z</dcterms:created>
  <dcterms:modified xsi:type="dcterms:W3CDTF">2019-12-03T11:42:00Z</dcterms:modified>
</cp:coreProperties>
</file>