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067A6" w14:textId="26F50663" w:rsidR="007D3CC6" w:rsidRPr="00AB5A4D" w:rsidRDefault="007D3CC6" w:rsidP="00AB5A4D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AB5A4D">
        <w:rPr>
          <w:rFonts w:asciiTheme="minorHAnsi" w:hAnsiTheme="minorHAnsi" w:cstheme="minorHAnsi"/>
          <w:b/>
          <w:bCs/>
        </w:rPr>
        <w:t xml:space="preserve">Standard oraz ceny rynkowe najczęściej finansowanych wydatków w projektach w ramach </w:t>
      </w:r>
      <w:r w:rsidR="00DF0FDF">
        <w:rPr>
          <w:rFonts w:asciiTheme="minorHAnsi" w:hAnsiTheme="minorHAnsi" w:cstheme="minorHAnsi"/>
          <w:b/>
          <w:bCs/>
        </w:rPr>
        <w:t>Działania 11.1</w:t>
      </w:r>
    </w:p>
    <w:p w14:paraId="0B2FA0AA" w14:textId="778AA55F" w:rsidR="007D3CC6" w:rsidRPr="00AB5A4D" w:rsidRDefault="007D3CC6" w:rsidP="00C67757">
      <w:pPr>
        <w:pStyle w:val="Default"/>
        <w:spacing w:before="120" w:after="120" w:line="276" w:lineRule="auto"/>
        <w:rPr>
          <w:rFonts w:asciiTheme="minorHAnsi" w:hAnsiTheme="minorHAnsi" w:cstheme="minorHAnsi"/>
        </w:rPr>
      </w:pPr>
      <w:r w:rsidRPr="00AB5A4D">
        <w:rPr>
          <w:rFonts w:asciiTheme="minorHAnsi" w:hAnsiTheme="minorHAnsi" w:cstheme="minorHAnsi"/>
        </w:rPr>
        <w:t>Dokument ten zawiera zalecenia odnośnie do zasad konstruowania budżetu szczegółowego projektu.</w:t>
      </w:r>
      <w:r w:rsidR="00C67757">
        <w:rPr>
          <w:rFonts w:asciiTheme="minorHAnsi" w:hAnsiTheme="minorHAnsi" w:cstheme="minorHAnsi"/>
        </w:rPr>
        <w:t xml:space="preserve"> Ze względu na szeroki wachlarz możliwych działań, nie określa maksymalnej wysokości konkretnych kosztów. Przy ocenie wysokości stawek określonych w budżecie pod uwagę będą brane takie czynniki </w:t>
      </w:r>
      <w:r w:rsidRPr="00AB5A4D">
        <w:rPr>
          <w:rFonts w:asciiTheme="minorHAnsi" w:hAnsiTheme="minorHAnsi" w:cstheme="minorHAnsi"/>
        </w:rPr>
        <w:t xml:space="preserve">jak: specyfika projektu, stopień złożoności projektu, wielkość grupy docelowej, </w:t>
      </w:r>
      <w:r w:rsidR="00C67757">
        <w:rPr>
          <w:rFonts w:asciiTheme="minorHAnsi" w:hAnsiTheme="minorHAnsi" w:cstheme="minorHAnsi"/>
        </w:rPr>
        <w:t xml:space="preserve">uzasadnienie wydatków i wykazanie ich niezbędności, a </w:t>
      </w:r>
      <w:r w:rsidR="007C5536">
        <w:rPr>
          <w:rFonts w:asciiTheme="minorHAnsi" w:hAnsiTheme="minorHAnsi" w:cstheme="minorHAnsi"/>
        </w:rPr>
        <w:t>także wykazanie</w:t>
      </w:r>
      <w:r w:rsidR="00C67757">
        <w:rPr>
          <w:rFonts w:asciiTheme="minorHAnsi" w:hAnsiTheme="minorHAnsi" w:cstheme="minorHAnsi"/>
        </w:rPr>
        <w:t xml:space="preserve"> ich zgodności ze stawkami rynkowymi. </w:t>
      </w:r>
    </w:p>
    <w:p w14:paraId="79C36D7E" w14:textId="77777777" w:rsidR="003F48CD" w:rsidRPr="00AB5A4D" w:rsidRDefault="003F48CD" w:rsidP="00AB5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120"/>
        <w:rPr>
          <w:rFonts w:cstheme="minorHAnsi"/>
          <w:b/>
          <w:sz w:val="24"/>
          <w:szCs w:val="24"/>
        </w:rPr>
      </w:pPr>
      <w:r w:rsidRPr="00AB5A4D">
        <w:rPr>
          <w:rFonts w:cstheme="minorHAnsi"/>
          <w:b/>
          <w:sz w:val="24"/>
          <w:szCs w:val="24"/>
        </w:rPr>
        <w:t>Zalecenia odnośnie</w:t>
      </w:r>
      <w:r w:rsidR="00024D90" w:rsidRPr="00AB5A4D">
        <w:rPr>
          <w:rFonts w:cstheme="minorHAnsi"/>
          <w:b/>
          <w:sz w:val="24"/>
          <w:szCs w:val="24"/>
        </w:rPr>
        <w:t xml:space="preserve"> do</w:t>
      </w:r>
      <w:r w:rsidRPr="00AB5A4D">
        <w:rPr>
          <w:rFonts w:cstheme="minorHAnsi"/>
          <w:b/>
          <w:sz w:val="24"/>
          <w:szCs w:val="24"/>
        </w:rPr>
        <w:t xml:space="preserve"> zasad konstruowania budżetu szczegółowego projektu.</w:t>
      </w:r>
    </w:p>
    <w:p w14:paraId="6E6429E7" w14:textId="5B23FCAF" w:rsidR="008974D1" w:rsidRPr="00AB5A4D" w:rsidRDefault="003F48CD" w:rsidP="00AB5A4D">
      <w:pPr>
        <w:spacing w:before="120" w:after="120"/>
        <w:rPr>
          <w:rFonts w:cstheme="minorHAnsi"/>
          <w:b/>
          <w:sz w:val="24"/>
          <w:szCs w:val="24"/>
          <w:u w:val="single"/>
        </w:rPr>
      </w:pPr>
      <w:r w:rsidRPr="00AB5A4D">
        <w:rPr>
          <w:rFonts w:cstheme="minorHAnsi"/>
          <w:b/>
          <w:sz w:val="24"/>
          <w:szCs w:val="24"/>
        </w:rPr>
        <w:t xml:space="preserve">IZ RPO WK-P zaleca, aby wydatki </w:t>
      </w:r>
      <w:r w:rsidR="005A7498" w:rsidRPr="00AB5A4D">
        <w:rPr>
          <w:rFonts w:cstheme="minorHAnsi"/>
          <w:b/>
          <w:sz w:val="24"/>
          <w:szCs w:val="24"/>
        </w:rPr>
        <w:t>w budżecie szczegółowym ujmować w tożsamych kategoriach zbiorczych, tzn. jako osobnych pozycji budżetowych nie ujmować wydatków, które można uwzględnić w budżecie w ramach wydatku o charakterze zbiorczym.</w:t>
      </w:r>
      <w:r w:rsidR="005A7498" w:rsidRPr="00AB5A4D">
        <w:rPr>
          <w:rFonts w:cstheme="minorHAnsi"/>
          <w:sz w:val="24"/>
          <w:szCs w:val="24"/>
        </w:rPr>
        <w:t xml:space="preserve"> </w:t>
      </w:r>
      <w:r w:rsidR="008974D1" w:rsidRPr="00AB5A4D">
        <w:rPr>
          <w:rFonts w:cstheme="minorHAnsi"/>
          <w:b/>
          <w:sz w:val="24"/>
          <w:szCs w:val="24"/>
          <w:u w:val="single"/>
        </w:rPr>
        <w:t xml:space="preserve">Dotyczy to w szczególności kosztów związanych z zakupem wyposażenia </w:t>
      </w:r>
      <w:proofErr w:type="spellStart"/>
      <w:r w:rsidR="00DF0FDF">
        <w:rPr>
          <w:rFonts w:cstheme="minorHAnsi"/>
          <w:b/>
          <w:sz w:val="24"/>
          <w:szCs w:val="24"/>
          <w:u w:val="single"/>
        </w:rPr>
        <w:t>Mediatek</w:t>
      </w:r>
      <w:proofErr w:type="spellEnd"/>
      <w:r w:rsidR="00DF0FDF">
        <w:rPr>
          <w:rFonts w:cstheme="minorHAnsi"/>
          <w:b/>
          <w:sz w:val="24"/>
          <w:szCs w:val="24"/>
          <w:u w:val="single"/>
        </w:rPr>
        <w:t>- CAL</w:t>
      </w:r>
      <w:r w:rsidR="008974D1" w:rsidRPr="00AB5A4D">
        <w:rPr>
          <w:rFonts w:cstheme="minorHAnsi"/>
          <w:b/>
          <w:sz w:val="24"/>
          <w:szCs w:val="24"/>
          <w:u w:val="single"/>
        </w:rPr>
        <w:t xml:space="preserve">  (niestanowiącego środków trwałych o wartości </w:t>
      </w:r>
      <w:r w:rsidR="002A7EBC" w:rsidRPr="00AB5A4D">
        <w:rPr>
          <w:rFonts w:cstheme="minorHAnsi"/>
          <w:b/>
          <w:sz w:val="24"/>
          <w:szCs w:val="24"/>
          <w:u w:val="single"/>
        </w:rPr>
        <w:t>wyższej niż</w:t>
      </w:r>
      <w:r w:rsidR="008974D1" w:rsidRPr="00AB5A4D">
        <w:rPr>
          <w:rFonts w:cstheme="minorHAnsi"/>
          <w:b/>
          <w:sz w:val="24"/>
          <w:szCs w:val="24"/>
          <w:u w:val="single"/>
        </w:rPr>
        <w:t xml:space="preserve"> </w:t>
      </w:r>
      <w:r w:rsidR="00EF30D4" w:rsidRPr="00AB5A4D">
        <w:rPr>
          <w:rFonts w:cstheme="minorHAnsi"/>
          <w:b/>
          <w:sz w:val="24"/>
          <w:szCs w:val="24"/>
          <w:u w:val="single"/>
        </w:rPr>
        <w:t>10 0</w:t>
      </w:r>
      <w:r w:rsidR="002C0B4F" w:rsidRPr="00AB5A4D">
        <w:rPr>
          <w:rFonts w:cstheme="minorHAnsi"/>
          <w:b/>
          <w:sz w:val="24"/>
          <w:szCs w:val="24"/>
          <w:u w:val="single"/>
        </w:rPr>
        <w:t>00 zł netto i </w:t>
      </w:r>
      <w:r w:rsidR="008974D1" w:rsidRPr="00AB5A4D">
        <w:rPr>
          <w:rFonts w:cstheme="minorHAnsi"/>
          <w:b/>
          <w:sz w:val="24"/>
          <w:szCs w:val="24"/>
          <w:u w:val="single"/>
        </w:rPr>
        <w:t>cross-</w:t>
      </w:r>
      <w:proofErr w:type="spellStart"/>
      <w:r w:rsidR="008974D1" w:rsidRPr="00AB5A4D">
        <w:rPr>
          <w:rFonts w:cstheme="minorHAnsi"/>
          <w:b/>
          <w:sz w:val="24"/>
          <w:szCs w:val="24"/>
          <w:u w:val="single"/>
        </w:rPr>
        <w:t>financingu</w:t>
      </w:r>
      <w:proofErr w:type="spellEnd"/>
      <w:r w:rsidR="008974D1" w:rsidRPr="00AB5A4D">
        <w:rPr>
          <w:rFonts w:cstheme="minorHAnsi"/>
          <w:b/>
          <w:sz w:val="24"/>
          <w:szCs w:val="24"/>
          <w:u w:val="single"/>
        </w:rPr>
        <w:t>), np.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1"/>
        <w:gridCol w:w="891"/>
        <w:gridCol w:w="1237"/>
        <w:gridCol w:w="1095"/>
        <w:gridCol w:w="1418"/>
      </w:tblGrid>
      <w:tr w:rsidR="008974D1" w:rsidRPr="00AB5A4D" w14:paraId="2FEC2068" w14:textId="77777777" w:rsidTr="00E808A8">
        <w:tc>
          <w:tcPr>
            <w:tcW w:w="4452" w:type="dxa"/>
            <w:shd w:val="clear" w:color="auto" w:fill="D9D9D9" w:themeFill="background1" w:themeFillShade="D9"/>
          </w:tcPr>
          <w:p w14:paraId="3FC43027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4780FF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J.m.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6D08B790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1096" w:type="dxa"/>
            <w:shd w:val="clear" w:color="auto" w:fill="D9D9D9" w:themeFill="background1" w:themeFillShade="D9"/>
          </w:tcPr>
          <w:p w14:paraId="02770ACC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Cena jedn.</w:t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2BE5F4C6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Łącznie</w:t>
            </w:r>
          </w:p>
        </w:tc>
      </w:tr>
      <w:tr w:rsidR="008974D1" w:rsidRPr="00AB5A4D" w14:paraId="0139693D" w14:textId="77777777" w:rsidTr="00E808A8">
        <w:tc>
          <w:tcPr>
            <w:tcW w:w="4452" w:type="dxa"/>
          </w:tcPr>
          <w:p w14:paraId="10A40369" w14:textId="0EA19D18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Wyposażenie </w:t>
            </w:r>
            <w:r w:rsidR="00DF0FDF">
              <w:rPr>
                <w:rFonts w:cstheme="minorHAnsi"/>
                <w:sz w:val="24"/>
                <w:szCs w:val="24"/>
              </w:rPr>
              <w:t>CAL</w:t>
            </w:r>
          </w:p>
        </w:tc>
        <w:tc>
          <w:tcPr>
            <w:tcW w:w="850" w:type="dxa"/>
          </w:tcPr>
          <w:p w14:paraId="7F238D83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zestaw</w:t>
            </w:r>
          </w:p>
        </w:tc>
        <w:tc>
          <w:tcPr>
            <w:tcW w:w="1242" w:type="dxa"/>
          </w:tcPr>
          <w:p w14:paraId="11F8C78A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14:paraId="100BB0CF" w14:textId="69145B30" w:rsidR="008974D1" w:rsidRPr="00AB5A4D" w:rsidRDefault="004806C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9300</w:t>
            </w:r>
            <w:r w:rsidR="008974D1" w:rsidRPr="00AB5A4D">
              <w:rPr>
                <w:rFonts w:cstheme="minorHAnsi"/>
                <w:sz w:val="24"/>
                <w:szCs w:val="24"/>
              </w:rPr>
              <w:t>,00</w:t>
            </w:r>
          </w:p>
        </w:tc>
        <w:tc>
          <w:tcPr>
            <w:tcW w:w="1422" w:type="dxa"/>
          </w:tcPr>
          <w:p w14:paraId="2B8AA71A" w14:textId="4CFB267D" w:rsidR="008974D1" w:rsidRPr="00AB5A4D" w:rsidRDefault="004806C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9300</w:t>
            </w:r>
            <w:r w:rsidR="008974D1" w:rsidRPr="00AB5A4D">
              <w:rPr>
                <w:rFonts w:cstheme="minorHAnsi"/>
                <w:sz w:val="24"/>
                <w:szCs w:val="24"/>
              </w:rPr>
              <w:t>,00</w:t>
            </w:r>
          </w:p>
        </w:tc>
      </w:tr>
      <w:tr w:rsidR="008974D1" w:rsidRPr="00AB5A4D" w14:paraId="1CB31965" w14:textId="77777777" w:rsidTr="00E808A8">
        <w:tc>
          <w:tcPr>
            <w:tcW w:w="4452" w:type="dxa"/>
          </w:tcPr>
          <w:p w14:paraId="12870601" w14:textId="4FB8538C" w:rsidR="008974D1" w:rsidRPr="00AB5A4D" w:rsidRDefault="00792800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Materiały zużywalne na warsztaty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60FE1AB8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zestaw</w:t>
            </w:r>
          </w:p>
        </w:tc>
        <w:tc>
          <w:tcPr>
            <w:tcW w:w="1242" w:type="dxa"/>
          </w:tcPr>
          <w:p w14:paraId="0F53FFB1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14:paraId="2484E83E" w14:textId="5E3105CC" w:rsidR="008974D1" w:rsidRPr="00AB5A4D" w:rsidRDefault="004806C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8974D1" w:rsidRPr="00AB5A4D">
              <w:rPr>
                <w:rFonts w:cstheme="minorHAnsi"/>
                <w:sz w:val="24"/>
                <w:szCs w:val="24"/>
              </w:rPr>
              <w:t>00,00</w:t>
            </w:r>
          </w:p>
        </w:tc>
        <w:tc>
          <w:tcPr>
            <w:tcW w:w="1422" w:type="dxa"/>
          </w:tcPr>
          <w:p w14:paraId="19CE5C2E" w14:textId="19B8480A" w:rsidR="008974D1" w:rsidRPr="00AB5A4D" w:rsidRDefault="004806C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8974D1" w:rsidRPr="00AB5A4D">
              <w:rPr>
                <w:rFonts w:cstheme="minorHAnsi"/>
                <w:sz w:val="24"/>
                <w:szCs w:val="24"/>
              </w:rPr>
              <w:t>00,00</w:t>
            </w:r>
          </w:p>
        </w:tc>
      </w:tr>
    </w:tbl>
    <w:p w14:paraId="1939D798" w14:textId="77777777" w:rsidR="00DF0FDF" w:rsidRDefault="00E02C7C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b/>
          <w:sz w:val="24"/>
          <w:szCs w:val="24"/>
        </w:rPr>
        <w:t>W uzasadnieniu kosztów specyficznych należy podać</w:t>
      </w:r>
      <w:r w:rsidR="00024D90" w:rsidRPr="00AB5A4D">
        <w:rPr>
          <w:rFonts w:cstheme="minorHAnsi"/>
          <w:b/>
          <w:sz w:val="24"/>
          <w:szCs w:val="24"/>
        </w:rPr>
        <w:t>,</w:t>
      </w:r>
      <w:r w:rsidRPr="00AB5A4D">
        <w:rPr>
          <w:rFonts w:cstheme="minorHAnsi"/>
          <w:b/>
          <w:sz w:val="24"/>
          <w:szCs w:val="24"/>
        </w:rPr>
        <w:t xml:space="preserve"> co wchodzi w skład zestawu. </w:t>
      </w:r>
      <w:r w:rsidR="006E29A5" w:rsidRPr="00AB5A4D">
        <w:rPr>
          <w:rFonts w:cstheme="minorHAnsi"/>
          <w:b/>
          <w:sz w:val="24"/>
          <w:szCs w:val="24"/>
        </w:rPr>
        <w:t>Co do zasady</w:t>
      </w:r>
      <w:r w:rsidR="006E29A5" w:rsidRPr="00AB5A4D">
        <w:rPr>
          <w:rFonts w:cstheme="minorHAnsi"/>
          <w:sz w:val="24"/>
          <w:szCs w:val="24"/>
        </w:rPr>
        <w:t xml:space="preserve"> w</w:t>
      </w:r>
      <w:r w:rsidR="002C0B4F" w:rsidRPr="00AB5A4D">
        <w:rPr>
          <w:rFonts w:cstheme="minorHAnsi"/>
          <w:sz w:val="24"/>
          <w:szCs w:val="24"/>
        </w:rPr>
        <w:t> </w:t>
      </w:r>
      <w:r w:rsidRPr="00AB5A4D">
        <w:rPr>
          <w:rFonts w:cstheme="minorHAnsi"/>
          <w:sz w:val="24"/>
          <w:szCs w:val="24"/>
        </w:rPr>
        <w:t>przypadku z</w:t>
      </w:r>
      <w:r w:rsidR="003E370F" w:rsidRPr="00AB5A4D">
        <w:rPr>
          <w:rFonts w:cstheme="minorHAnsi"/>
          <w:sz w:val="24"/>
          <w:szCs w:val="24"/>
        </w:rPr>
        <w:t>estawów</w:t>
      </w:r>
      <w:r w:rsidR="006E29A5" w:rsidRPr="00AB5A4D">
        <w:rPr>
          <w:rFonts w:cstheme="minorHAnsi"/>
          <w:sz w:val="24"/>
          <w:szCs w:val="24"/>
        </w:rPr>
        <w:t xml:space="preserve"> o niewielkiej wartości</w:t>
      </w:r>
      <w:r w:rsidR="00284CE0" w:rsidRPr="00AB5A4D">
        <w:rPr>
          <w:rFonts w:cstheme="minorHAnsi"/>
          <w:sz w:val="24"/>
          <w:szCs w:val="24"/>
        </w:rPr>
        <w:t xml:space="preserve"> </w:t>
      </w:r>
      <w:r w:rsidRPr="00AB5A4D">
        <w:rPr>
          <w:rFonts w:cstheme="minorHAnsi"/>
          <w:sz w:val="24"/>
          <w:szCs w:val="24"/>
        </w:rPr>
        <w:t xml:space="preserve">wystarczające jest wskazanie </w:t>
      </w:r>
      <w:r w:rsidR="003E370F" w:rsidRPr="00AB5A4D">
        <w:rPr>
          <w:rFonts w:cstheme="minorHAnsi"/>
          <w:sz w:val="24"/>
          <w:szCs w:val="24"/>
        </w:rPr>
        <w:t>element</w:t>
      </w:r>
      <w:r w:rsidR="00317BB1" w:rsidRPr="00AB5A4D">
        <w:rPr>
          <w:rFonts w:cstheme="minorHAnsi"/>
          <w:sz w:val="24"/>
          <w:szCs w:val="24"/>
        </w:rPr>
        <w:t>ów wchodzących w skład zestawu. W przypadku</w:t>
      </w:r>
      <w:r w:rsidR="006E29A5" w:rsidRPr="00AB5A4D">
        <w:rPr>
          <w:rFonts w:cstheme="minorHAnsi"/>
          <w:sz w:val="24"/>
          <w:szCs w:val="24"/>
        </w:rPr>
        <w:t xml:space="preserve"> </w:t>
      </w:r>
      <w:r w:rsidR="00EB032C" w:rsidRPr="00AB5A4D">
        <w:rPr>
          <w:rFonts w:cstheme="minorHAnsi"/>
          <w:sz w:val="24"/>
          <w:szCs w:val="24"/>
        </w:rPr>
        <w:t xml:space="preserve">zestawów </w:t>
      </w:r>
      <w:r w:rsidR="006E29A5" w:rsidRPr="00AB5A4D">
        <w:rPr>
          <w:rFonts w:cstheme="minorHAnsi"/>
          <w:sz w:val="24"/>
          <w:szCs w:val="24"/>
        </w:rPr>
        <w:t>o większej wartości i</w:t>
      </w:r>
      <w:r w:rsidR="00317BB1" w:rsidRPr="00AB5A4D">
        <w:rPr>
          <w:rFonts w:cstheme="minorHAnsi"/>
          <w:sz w:val="24"/>
          <w:szCs w:val="24"/>
        </w:rPr>
        <w:t xml:space="preserve"> zestawów, w których ocena racjonalności jedynie na podstawie określenia elementów składowych może być utrudniona, w</w:t>
      </w:r>
      <w:r w:rsidR="002C0B4F" w:rsidRPr="00AB5A4D">
        <w:rPr>
          <w:rFonts w:cstheme="minorHAnsi"/>
          <w:sz w:val="24"/>
          <w:szCs w:val="24"/>
        </w:rPr>
        <w:t> </w:t>
      </w:r>
      <w:r w:rsidR="00317BB1" w:rsidRPr="00AB5A4D">
        <w:rPr>
          <w:rFonts w:cstheme="minorHAnsi"/>
          <w:sz w:val="24"/>
          <w:szCs w:val="24"/>
        </w:rPr>
        <w:t>uzasadnieniu należy wskazać również ceny jednostkowe</w:t>
      </w:r>
      <w:r w:rsidR="00882A59" w:rsidRPr="00AB5A4D">
        <w:rPr>
          <w:rFonts w:cstheme="minorHAnsi"/>
          <w:sz w:val="24"/>
          <w:szCs w:val="24"/>
        </w:rPr>
        <w:t>, np. w gdy w skład zestawu wchodzą elementy, których ceny jednostkowe nie są publicznie dostępne</w:t>
      </w:r>
      <w:r w:rsidR="001378B1" w:rsidRPr="00AB5A4D">
        <w:rPr>
          <w:rFonts w:cstheme="minorHAnsi"/>
          <w:sz w:val="24"/>
          <w:szCs w:val="24"/>
        </w:rPr>
        <w:t xml:space="preserve"> lub</w:t>
      </w:r>
      <w:r w:rsidR="00882A59" w:rsidRPr="00AB5A4D">
        <w:rPr>
          <w:rFonts w:cstheme="minorHAnsi"/>
          <w:sz w:val="24"/>
          <w:szCs w:val="24"/>
        </w:rPr>
        <w:t xml:space="preserve"> </w:t>
      </w:r>
      <w:r w:rsidR="001378B1" w:rsidRPr="00AB5A4D">
        <w:rPr>
          <w:rFonts w:cstheme="minorHAnsi"/>
          <w:sz w:val="24"/>
          <w:szCs w:val="24"/>
        </w:rPr>
        <w:t>gdy</w:t>
      </w:r>
      <w:r w:rsidR="00882A59" w:rsidRPr="00AB5A4D">
        <w:rPr>
          <w:rFonts w:cstheme="minorHAnsi"/>
          <w:sz w:val="24"/>
          <w:szCs w:val="24"/>
        </w:rPr>
        <w:t xml:space="preserve"> istnieją wątpliwości co d</w:t>
      </w:r>
      <w:r w:rsidR="001378B1" w:rsidRPr="00AB5A4D">
        <w:rPr>
          <w:rFonts w:cstheme="minorHAnsi"/>
          <w:sz w:val="24"/>
          <w:szCs w:val="24"/>
        </w:rPr>
        <w:t>o sposobu kalkulacji wydatku.</w:t>
      </w:r>
      <w:r w:rsidR="000B430D" w:rsidRPr="00AB5A4D">
        <w:rPr>
          <w:rFonts w:cstheme="minorHAnsi"/>
          <w:sz w:val="24"/>
          <w:szCs w:val="24"/>
        </w:rPr>
        <w:t xml:space="preserve"> </w:t>
      </w:r>
    </w:p>
    <w:p w14:paraId="10289345" w14:textId="457449A3" w:rsidR="00E02C7C" w:rsidRPr="00AB5A4D" w:rsidRDefault="000B430D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8974D1" w:rsidRPr="00AB5A4D" w14:paraId="0C629364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F275FFD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649A3EA8" w14:textId="4DB074CF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1 - Wyposażenie </w:t>
            </w:r>
            <w:r w:rsidR="00DF0FDF">
              <w:rPr>
                <w:rFonts w:cstheme="minorHAnsi"/>
                <w:sz w:val="24"/>
                <w:szCs w:val="24"/>
              </w:rPr>
              <w:t>CAL</w:t>
            </w:r>
          </w:p>
        </w:tc>
      </w:tr>
      <w:tr w:rsidR="008974D1" w:rsidRPr="00AB5A4D" w14:paraId="2E31699D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3CBD2D6F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Uzasadnienie</w:t>
            </w:r>
          </w:p>
        </w:tc>
        <w:tc>
          <w:tcPr>
            <w:tcW w:w="7265" w:type="dxa"/>
          </w:tcPr>
          <w:p w14:paraId="4084C774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 skład zestawu wchodzą: </w:t>
            </w:r>
          </w:p>
          <w:p w14:paraId="17803ADD" w14:textId="1E15AEFB" w:rsidR="008974D1" w:rsidRPr="00AB5A4D" w:rsidRDefault="00DF0FDF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drukarka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 szt.*</w:t>
            </w:r>
            <w:r>
              <w:rPr>
                <w:rFonts w:cstheme="minorHAnsi"/>
                <w:sz w:val="24"/>
                <w:szCs w:val="24"/>
              </w:rPr>
              <w:t>2000</w:t>
            </w:r>
            <w:r w:rsidRPr="00AB5A4D">
              <w:rPr>
                <w:rFonts w:cstheme="minorHAnsi"/>
                <w:sz w:val="24"/>
                <w:szCs w:val="24"/>
              </w:rPr>
              <w:t xml:space="preserve"> 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zł = </w:t>
            </w:r>
            <w:r w:rsidR="004806C2">
              <w:rPr>
                <w:rFonts w:cstheme="minorHAnsi"/>
                <w:sz w:val="24"/>
                <w:szCs w:val="24"/>
              </w:rPr>
              <w:t>2000</w:t>
            </w:r>
            <w:r w:rsidR="004806C2" w:rsidRPr="00AB5A4D">
              <w:rPr>
                <w:rFonts w:cstheme="minorHAnsi"/>
                <w:sz w:val="24"/>
                <w:szCs w:val="24"/>
              </w:rPr>
              <w:t xml:space="preserve"> </w:t>
            </w:r>
            <w:r w:rsidR="008974D1" w:rsidRPr="00AB5A4D">
              <w:rPr>
                <w:rFonts w:cstheme="minorHAnsi"/>
                <w:sz w:val="24"/>
                <w:szCs w:val="24"/>
              </w:rPr>
              <w:t>zł</w:t>
            </w:r>
          </w:p>
          <w:p w14:paraId="2D5EE051" w14:textId="77EEC96F" w:rsidR="008974D1" w:rsidRPr="00AB5A4D" w:rsidRDefault="00DF0FDF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laptop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 szt.*</w:t>
            </w:r>
            <w:r>
              <w:rPr>
                <w:rFonts w:cstheme="minorHAnsi"/>
                <w:sz w:val="24"/>
                <w:szCs w:val="24"/>
              </w:rPr>
              <w:t>4000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 zł = </w:t>
            </w:r>
            <w:r w:rsidR="004806C2">
              <w:rPr>
                <w:rFonts w:cstheme="minorHAnsi"/>
                <w:sz w:val="24"/>
                <w:szCs w:val="24"/>
              </w:rPr>
              <w:t xml:space="preserve">4000 </w:t>
            </w:r>
            <w:r w:rsidR="008974D1" w:rsidRPr="00AB5A4D">
              <w:rPr>
                <w:rFonts w:cstheme="minorHAnsi"/>
                <w:sz w:val="24"/>
                <w:szCs w:val="24"/>
              </w:rPr>
              <w:t>zł</w:t>
            </w:r>
          </w:p>
          <w:p w14:paraId="2BD04776" w14:textId="72F512D3" w:rsidR="008974D1" w:rsidRDefault="00DF0FDF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rzutnik z ekranem</w:t>
            </w:r>
            <w:r w:rsidR="008974D1" w:rsidRPr="00AB5A4D">
              <w:rPr>
                <w:rFonts w:cstheme="minorHAnsi"/>
                <w:sz w:val="24"/>
                <w:szCs w:val="24"/>
              </w:rPr>
              <w:t>: 1 szt.*</w:t>
            </w:r>
            <w:r w:rsidR="004806C2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>00</w:t>
            </w:r>
            <w:r w:rsidRPr="00AB5A4D">
              <w:rPr>
                <w:rFonts w:cstheme="minorHAnsi"/>
                <w:sz w:val="24"/>
                <w:szCs w:val="24"/>
              </w:rPr>
              <w:t xml:space="preserve"> 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zł = </w:t>
            </w:r>
            <w:r w:rsidR="004806C2">
              <w:rPr>
                <w:rFonts w:cstheme="minorHAnsi"/>
                <w:sz w:val="24"/>
                <w:szCs w:val="24"/>
              </w:rPr>
              <w:t>1500</w:t>
            </w:r>
            <w:r w:rsidR="004806C2" w:rsidRPr="00AB5A4D">
              <w:rPr>
                <w:rFonts w:cstheme="minorHAnsi"/>
                <w:sz w:val="24"/>
                <w:szCs w:val="24"/>
              </w:rPr>
              <w:t xml:space="preserve"> </w:t>
            </w:r>
            <w:r w:rsidR="008974D1" w:rsidRPr="00AB5A4D">
              <w:rPr>
                <w:rFonts w:cstheme="minorHAnsi"/>
                <w:sz w:val="24"/>
                <w:szCs w:val="24"/>
              </w:rPr>
              <w:t>zł</w:t>
            </w:r>
          </w:p>
          <w:p w14:paraId="65499F5F" w14:textId="5AFF84F4" w:rsidR="00DF0FDF" w:rsidRPr="00AB5A4D" w:rsidRDefault="00DF0FDF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krzesła- 6 x 300 zł- 1800 zł</w:t>
            </w:r>
          </w:p>
          <w:p w14:paraId="227CF0DF" w14:textId="5CEF9502" w:rsidR="008974D1" w:rsidRPr="00AB5A4D" w:rsidRDefault="005935F2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Łącznie </w:t>
            </w:r>
            <w:r w:rsidR="004806C2">
              <w:rPr>
                <w:rFonts w:cstheme="minorHAnsi"/>
                <w:sz w:val="24"/>
                <w:szCs w:val="24"/>
              </w:rPr>
              <w:t>9300</w:t>
            </w:r>
            <w:r w:rsidR="004806C2" w:rsidRPr="00AB5A4D">
              <w:rPr>
                <w:rFonts w:cstheme="minorHAnsi"/>
                <w:sz w:val="24"/>
                <w:szCs w:val="24"/>
              </w:rPr>
              <w:t xml:space="preserve"> </w:t>
            </w:r>
            <w:r w:rsidR="008974D1" w:rsidRPr="00AB5A4D">
              <w:rPr>
                <w:rFonts w:cstheme="minorHAnsi"/>
                <w:sz w:val="24"/>
                <w:szCs w:val="24"/>
              </w:rPr>
              <w:t xml:space="preserve">zł. </w:t>
            </w:r>
          </w:p>
        </w:tc>
      </w:tr>
      <w:tr w:rsidR="008974D1" w:rsidRPr="00AB5A4D" w14:paraId="7965D571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8AD7444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lastRenderedPageBreak/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71523270" w14:textId="1642A305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2 - </w:t>
            </w:r>
            <w:r w:rsidR="00792800">
              <w:rPr>
                <w:rFonts w:cstheme="minorHAnsi"/>
                <w:sz w:val="24"/>
                <w:szCs w:val="24"/>
              </w:rPr>
              <w:t xml:space="preserve">Materiały zużywalne na warsztaty z zakresu……. </w:t>
            </w:r>
          </w:p>
        </w:tc>
      </w:tr>
      <w:tr w:rsidR="008974D1" w:rsidRPr="00AB5A4D" w14:paraId="0941AE06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52BA3979" w14:textId="7777777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>Uzasadnienie</w:t>
            </w:r>
          </w:p>
        </w:tc>
        <w:tc>
          <w:tcPr>
            <w:tcW w:w="7265" w:type="dxa"/>
          </w:tcPr>
          <w:p w14:paraId="4D3BC6AD" w14:textId="76F03007" w:rsidR="008974D1" w:rsidRPr="00AB5A4D" w:rsidRDefault="008974D1" w:rsidP="00AB5A4D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sz w:val="24"/>
                <w:szCs w:val="24"/>
              </w:rPr>
              <w:t xml:space="preserve">W skład zestawu wchodzą: </w:t>
            </w:r>
            <w:r w:rsidR="00792800">
              <w:rPr>
                <w:rFonts w:cstheme="minorHAnsi"/>
                <w:sz w:val="24"/>
                <w:szCs w:val="24"/>
              </w:rPr>
              <w:t xml:space="preserve">farby, mazaki, kleje, nożyczki, papier kolorowy, materiały do </w:t>
            </w:r>
            <w:proofErr w:type="spellStart"/>
            <w:r w:rsidR="00792800">
              <w:rPr>
                <w:rFonts w:cstheme="minorHAnsi"/>
                <w:sz w:val="24"/>
                <w:szCs w:val="24"/>
              </w:rPr>
              <w:t>decoupage</w:t>
            </w:r>
            <w:proofErr w:type="spellEnd"/>
            <w:r w:rsidR="00792800">
              <w:rPr>
                <w:rFonts w:cstheme="minorHAnsi"/>
                <w:sz w:val="24"/>
                <w:szCs w:val="24"/>
              </w:rPr>
              <w:t>, papier techniczny dla 20 uczestników</w:t>
            </w:r>
            <w:r w:rsidR="00743D84">
              <w:rPr>
                <w:rFonts w:cstheme="minorHAnsi"/>
                <w:sz w:val="24"/>
                <w:szCs w:val="24"/>
              </w:rPr>
              <w:t xml:space="preserve"> na cały cykl warsztatów. </w:t>
            </w:r>
          </w:p>
        </w:tc>
      </w:tr>
    </w:tbl>
    <w:p w14:paraId="1E4A5F48" w14:textId="37BDC11F" w:rsidR="000020FD" w:rsidRPr="00AB5A4D" w:rsidRDefault="00C70D2D" w:rsidP="00AB5A4D">
      <w:pPr>
        <w:spacing w:before="120" w:after="120"/>
        <w:rPr>
          <w:rFonts w:cstheme="minorHAnsi"/>
          <w:bCs/>
          <w:sz w:val="24"/>
          <w:szCs w:val="24"/>
        </w:rPr>
      </w:pPr>
      <w:r w:rsidRPr="00AB5A4D">
        <w:rPr>
          <w:rFonts w:cstheme="minorHAnsi"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AB5A4D" w14:paraId="3E56C6AA" w14:textId="77777777" w:rsidTr="00990630">
        <w:tc>
          <w:tcPr>
            <w:tcW w:w="9212" w:type="dxa"/>
            <w:shd w:val="clear" w:color="auto" w:fill="BFBFBF" w:themeFill="background1" w:themeFillShade="BF"/>
          </w:tcPr>
          <w:p w14:paraId="40209DE9" w14:textId="77777777" w:rsidR="006452CF" w:rsidRPr="00AB5A4D" w:rsidRDefault="006452CF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Nazwy kosztów w budżecie projektu</w:t>
            </w:r>
          </w:p>
        </w:tc>
      </w:tr>
    </w:tbl>
    <w:p w14:paraId="662CCB2E" w14:textId="77777777" w:rsidR="006452CF" w:rsidRPr="00AB5A4D" w:rsidRDefault="006452CF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5F2" w:rsidRPr="00AB5A4D" w14:paraId="0455BF74" w14:textId="77777777" w:rsidTr="00EC251E">
        <w:tc>
          <w:tcPr>
            <w:tcW w:w="9062" w:type="dxa"/>
            <w:shd w:val="clear" w:color="auto" w:fill="D9D9D9" w:themeFill="background1" w:themeFillShade="D9"/>
          </w:tcPr>
          <w:p w14:paraId="4A0D8936" w14:textId="77777777" w:rsidR="005935F2" w:rsidRPr="00AB5A4D" w:rsidRDefault="005935F2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Cross-</w:t>
            </w:r>
            <w:proofErr w:type="spellStart"/>
            <w:r w:rsidRPr="00AB5A4D">
              <w:rPr>
                <w:rFonts w:cstheme="minorHAnsi"/>
                <w:b/>
                <w:sz w:val="24"/>
                <w:szCs w:val="24"/>
              </w:rPr>
              <w:t>financing</w:t>
            </w:r>
            <w:proofErr w:type="spellEnd"/>
          </w:p>
        </w:tc>
      </w:tr>
    </w:tbl>
    <w:p w14:paraId="2021D29E" w14:textId="77777777" w:rsidR="005935F2" w:rsidRPr="00AB5A4D" w:rsidRDefault="005935F2" w:rsidP="00AB5A4D">
      <w:pPr>
        <w:autoSpaceDE w:val="0"/>
        <w:autoSpaceDN w:val="0"/>
        <w:adjustRightInd w:val="0"/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Zgodnie z Wytycznymi w przypadku projektów współfinansowanych z EFS </w:t>
      </w:r>
      <w:r w:rsidRPr="00AB5A4D">
        <w:rPr>
          <w:rFonts w:cstheme="minorHAnsi"/>
          <w:b/>
          <w:sz w:val="24"/>
          <w:szCs w:val="24"/>
        </w:rPr>
        <w:t>cross-</w:t>
      </w:r>
      <w:proofErr w:type="spellStart"/>
      <w:r w:rsidRPr="00AB5A4D">
        <w:rPr>
          <w:rFonts w:cstheme="minorHAnsi"/>
          <w:b/>
          <w:sz w:val="24"/>
          <w:szCs w:val="24"/>
        </w:rPr>
        <w:t>financing</w:t>
      </w:r>
      <w:proofErr w:type="spellEnd"/>
      <w:r w:rsidRPr="00AB5A4D">
        <w:rPr>
          <w:rFonts w:cstheme="minorHAnsi"/>
          <w:sz w:val="24"/>
          <w:szCs w:val="24"/>
        </w:rPr>
        <w:t xml:space="preserve"> może dotyczyć wyłącznie:</w:t>
      </w:r>
    </w:p>
    <w:p w14:paraId="4C99CC38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noProof/>
          <w:sz w:val="24"/>
          <w:szCs w:val="24"/>
        </w:rPr>
      </w:pPr>
      <w:r w:rsidRPr="00AB5A4D">
        <w:rPr>
          <w:rFonts w:cstheme="minorHAnsi"/>
          <w:sz w:val="24"/>
          <w:szCs w:val="24"/>
        </w:rPr>
        <w:t>zakupu nieruchomości,</w:t>
      </w:r>
    </w:p>
    <w:p w14:paraId="433C4B7F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zakupu infrastruktury, przy czym poprzez infrastrukturę rozumie się elementy nieprzenośne, na stałe przytwierdzone do nieruchomości, np. wykonanie podjazdu do budynku, zainstalowanie windy w budynku,</w:t>
      </w:r>
    </w:p>
    <w:p w14:paraId="7B292817" w14:textId="77777777" w:rsidR="005935F2" w:rsidRPr="00AB5A4D" w:rsidRDefault="005935F2" w:rsidP="00AB5A4D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rPr>
          <w:rFonts w:cstheme="minorHAnsi"/>
          <w:noProof/>
          <w:sz w:val="24"/>
          <w:szCs w:val="24"/>
        </w:rPr>
      </w:pPr>
      <w:r w:rsidRPr="00AB5A4D">
        <w:rPr>
          <w:rFonts w:cstheme="minorHAnsi"/>
          <w:sz w:val="24"/>
          <w:szCs w:val="24"/>
        </w:rPr>
        <w:t>dostosowania lub adaptacji (prace remontowo-wykończeniowe) budynków i pomieszczeń.</w:t>
      </w:r>
    </w:p>
    <w:p w14:paraId="4F1F4EDA" w14:textId="77777777" w:rsidR="005935F2" w:rsidRPr="00AB5A4D" w:rsidRDefault="005935F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IZ RPO WK-P informuje, iż do kosztów związanych z cross-</w:t>
      </w:r>
      <w:proofErr w:type="spellStart"/>
      <w:r w:rsidRPr="00AB5A4D">
        <w:rPr>
          <w:rFonts w:cstheme="minorHAnsi"/>
          <w:sz w:val="24"/>
          <w:szCs w:val="24"/>
        </w:rPr>
        <w:t>financingiem</w:t>
      </w:r>
      <w:proofErr w:type="spellEnd"/>
      <w:r w:rsidRPr="00AB5A4D">
        <w:rPr>
          <w:rFonts w:cstheme="minorHAnsi"/>
          <w:sz w:val="24"/>
          <w:szCs w:val="24"/>
        </w:rPr>
        <w:t xml:space="preserve"> w zakresie dostosowania lub adaptacji pomieszczeń, oprócz kosztów związanych z pracami remontowo-wykończeniowymi, należy zaliczyć takie koszty w budżecie, jak: zlewy, krany, meble pod wymiar i zabudowę itp., które są na stałe przytwierdzone do ścian/budynku.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AB5A4D" w14:paraId="2770189A" w14:textId="77777777" w:rsidTr="002A71C1">
        <w:tc>
          <w:tcPr>
            <w:tcW w:w="9062" w:type="dxa"/>
            <w:shd w:val="clear" w:color="auto" w:fill="BFBFBF" w:themeFill="background1" w:themeFillShade="BF"/>
          </w:tcPr>
          <w:p w14:paraId="22F4E133" w14:textId="690DA1CB" w:rsidR="00790C12" w:rsidRPr="00AB5A4D" w:rsidRDefault="00790C12" w:rsidP="00AB5A4D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Wydatki inwestycyjne</w:t>
            </w:r>
          </w:p>
        </w:tc>
      </w:tr>
    </w:tbl>
    <w:p w14:paraId="2273A61B" w14:textId="5C1093DA" w:rsidR="00790C12" w:rsidRPr="00AB5A4D" w:rsidRDefault="00142096" w:rsidP="00AB5A4D">
      <w:pPr>
        <w:spacing w:before="120" w:after="120"/>
        <w:contextualSpacing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1. </w:t>
      </w:r>
      <w:r w:rsidR="00790C12" w:rsidRPr="00AB5A4D">
        <w:rPr>
          <w:rFonts w:cstheme="minorHAnsi"/>
          <w:b/>
          <w:sz w:val="24"/>
          <w:szCs w:val="24"/>
        </w:rPr>
        <w:t>W przypadku jednostek spoza sektora finansów publicznych</w:t>
      </w:r>
      <w:r w:rsidR="00790C12" w:rsidRPr="00AB5A4D">
        <w:rPr>
          <w:rFonts w:cstheme="minorHAnsi"/>
          <w:sz w:val="24"/>
          <w:szCs w:val="24"/>
        </w:rPr>
        <w:t xml:space="preserve"> </w:t>
      </w:r>
      <w:r w:rsidR="00790C12" w:rsidRPr="00AB5A4D">
        <w:rPr>
          <w:rFonts w:cstheme="minorHAnsi"/>
          <w:b/>
          <w:sz w:val="24"/>
          <w:szCs w:val="24"/>
        </w:rPr>
        <w:t>za wydatki inwestycyjne uznaje się wydatki planowane do poniesienia w ramach kategorii cross-</w:t>
      </w:r>
      <w:proofErr w:type="spellStart"/>
      <w:r w:rsidR="00790C12" w:rsidRPr="00AB5A4D">
        <w:rPr>
          <w:rFonts w:cstheme="minorHAnsi"/>
          <w:b/>
          <w:sz w:val="24"/>
          <w:szCs w:val="24"/>
        </w:rPr>
        <w:t>financing</w:t>
      </w:r>
      <w:proofErr w:type="spellEnd"/>
      <w:r w:rsidR="00790C12" w:rsidRPr="00AB5A4D">
        <w:rPr>
          <w:rFonts w:cstheme="minorHAnsi"/>
          <w:b/>
          <w:sz w:val="24"/>
          <w:szCs w:val="24"/>
        </w:rPr>
        <w:t xml:space="preserve">, których wartość jednostkowa przekracza kwotę 10.000 zł oraz wydatki na zakup środków </w:t>
      </w:r>
      <w:r w:rsidR="00790C12" w:rsidRPr="00AB5A4D">
        <w:rPr>
          <w:rFonts w:cstheme="minorHAnsi"/>
          <w:b/>
          <w:sz w:val="24"/>
          <w:szCs w:val="24"/>
        </w:rPr>
        <w:lastRenderedPageBreak/>
        <w:t>trwałych</w:t>
      </w:r>
      <w:r w:rsidR="00790C12" w:rsidRPr="00AB5A4D">
        <w:rPr>
          <w:rStyle w:val="Odwoanieprzypisudolnego"/>
          <w:rFonts w:cstheme="minorHAnsi"/>
          <w:b/>
          <w:sz w:val="24"/>
          <w:szCs w:val="24"/>
        </w:rPr>
        <w:footnoteReference w:id="1"/>
      </w:r>
      <w:r w:rsidR="00790C12" w:rsidRPr="00AB5A4D">
        <w:rPr>
          <w:rFonts w:cstheme="minorHAnsi"/>
          <w:b/>
          <w:sz w:val="24"/>
          <w:szCs w:val="24"/>
        </w:rPr>
        <w:t>, których wartość jednostkowa przekracza kwotę 10.000 z</w:t>
      </w:r>
      <w:r w:rsidR="004D5E58" w:rsidRPr="00AB5A4D">
        <w:rPr>
          <w:rFonts w:cstheme="minorHAnsi"/>
          <w:b/>
          <w:sz w:val="24"/>
          <w:szCs w:val="24"/>
        </w:rPr>
        <w:t>ł</w:t>
      </w:r>
      <w:r w:rsidR="00790C12" w:rsidRPr="00AB5A4D">
        <w:rPr>
          <w:rFonts w:cstheme="minorHAnsi"/>
          <w:b/>
          <w:sz w:val="24"/>
          <w:szCs w:val="24"/>
        </w:rPr>
        <w:t xml:space="preserve">. </w:t>
      </w:r>
      <w:r w:rsidR="00790C12" w:rsidRPr="00AB5A4D">
        <w:rPr>
          <w:rFonts w:cstheme="minorHAnsi"/>
          <w:sz w:val="24"/>
          <w:szCs w:val="24"/>
        </w:rPr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49B828DC" w14:textId="51EC2D75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9044B9A" w14:textId="56DDB406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AB5A4D">
        <w:rPr>
          <w:rStyle w:val="Odwoanieprzypisudolnego"/>
          <w:rFonts w:cstheme="minorHAnsi"/>
          <w:sz w:val="24"/>
          <w:szCs w:val="24"/>
        </w:rPr>
        <w:footnoteReference w:id="2"/>
      </w:r>
      <w:r w:rsidRPr="00AB5A4D">
        <w:rPr>
          <w:rFonts w:cstheme="minorHAnsi"/>
          <w:sz w:val="24"/>
          <w:szCs w:val="24"/>
        </w:rPr>
        <w:t>, wkład własny natomiast w całości przeznaczony będzie na sfinansowanie ponoszonych przez beneficjentów wydatków bieżących.</w:t>
      </w:r>
    </w:p>
    <w:p w14:paraId="74D517F4" w14:textId="383EE586" w:rsidR="00790C12" w:rsidRPr="00AB5A4D" w:rsidRDefault="00142096" w:rsidP="00AB5A4D">
      <w:pPr>
        <w:spacing w:before="120" w:after="120"/>
        <w:contextualSpacing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2. </w:t>
      </w:r>
      <w:r w:rsidR="00790C12" w:rsidRPr="00AB5A4D">
        <w:rPr>
          <w:rFonts w:cstheme="minorHAnsi"/>
          <w:b/>
          <w:sz w:val="24"/>
          <w:szCs w:val="24"/>
        </w:rPr>
        <w:t>W przypadku jednostek sektora finansów publicznych – za wydatki inwestycyjne uznaje się wydatki planowane do poniesienia w ramach kategorii cross-</w:t>
      </w:r>
      <w:proofErr w:type="spellStart"/>
      <w:r w:rsidR="00790C12" w:rsidRPr="00AB5A4D">
        <w:rPr>
          <w:rFonts w:cstheme="minorHAnsi"/>
          <w:b/>
          <w:sz w:val="24"/>
          <w:szCs w:val="24"/>
        </w:rPr>
        <w:t>financing</w:t>
      </w:r>
      <w:proofErr w:type="spellEnd"/>
      <w:r w:rsidR="00790C12" w:rsidRPr="00AB5A4D">
        <w:rPr>
          <w:rFonts w:cstheme="minorHAnsi"/>
          <w:b/>
          <w:sz w:val="24"/>
          <w:szCs w:val="24"/>
        </w:rPr>
        <w:t>, których wartość jednostkowa przekracza kwotę 10.000 zł oraz wydatki na zakup środków trwałych</w:t>
      </w:r>
      <w:r w:rsidR="00790C12" w:rsidRPr="00AB5A4D">
        <w:rPr>
          <w:rFonts w:cstheme="minorHAnsi"/>
          <w:b/>
          <w:sz w:val="24"/>
          <w:szCs w:val="24"/>
          <w:vertAlign w:val="superscript"/>
        </w:rPr>
        <w:t>1</w:t>
      </w:r>
      <w:r w:rsidR="00790C12" w:rsidRPr="00AB5A4D">
        <w:rPr>
          <w:rFonts w:cstheme="minorHAnsi"/>
          <w:b/>
          <w:sz w:val="24"/>
          <w:szCs w:val="24"/>
        </w:rPr>
        <w:t>, których wartość jednostkowa przek</w:t>
      </w:r>
      <w:r w:rsidR="004D5E58" w:rsidRPr="00AB5A4D">
        <w:rPr>
          <w:rFonts w:cstheme="minorHAnsi"/>
          <w:b/>
          <w:sz w:val="24"/>
          <w:szCs w:val="24"/>
        </w:rPr>
        <w:t xml:space="preserve">racza kwotę 10.000 zł </w:t>
      </w:r>
      <w:r w:rsidR="00790C12" w:rsidRPr="00AB5A4D">
        <w:rPr>
          <w:rFonts w:cstheme="minorHAnsi"/>
          <w:b/>
          <w:sz w:val="24"/>
          <w:szCs w:val="24"/>
        </w:rPr>
        <w:t>– o ile polityka rachunkowości danej jednostki bądź inne przepisy nie stanowią inaczej.</w:t>
      </w:r>
      <w:r w:rsidR="00790C12" w:rsidRPr="00AB5A4D">
        <w:rPr>
          <w:rFonts w:cstheme="minorHAnsi"/>
          <w:sz w:val="24"/>
          <w:szCs w:val="24"/>
        </w:rPr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2E04D0A5" w14:textId="5B1233EB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09C51E17" w14:textId="05F018C7" w:rsidR="00790C12" w:rsidRPr="00AB5A4D" w:rsidRDefault="00790C12" w:rsidP="00AB5A4D">
      <w:pPr>
        <w:spacing w:before="120" w:after="120"/>
        <w:rPr>
          <w:rFonts w:cstheme="minorHAnsi"/>
          <w:sz w:val="24"/>
          <w:szCs w:val="24"/>
        </w:rPr>
      </w:pPr>
      <w:r w:rsidRPr="00AB5A4D">
        <w:rPr>
          <w:rFonts w:cstheme="minorHAnsi"/>
          <w:sz w:val="24"/>
          <w:szCs w:val="24"/>
        </w:rPr>
        <w:t xml:space="preserve"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</w:t>
      </w:r>
      <w:r w:rsidRPr="00AB5A4D">
        <w:rPr>
          <w:rFonts w:cstheme="minorHAnsi"/>
          <w:sz w:val="24"/>
          <w:szCs w:val="24"/>
        </w:rPr>
        <w:lastRenderedPageBreak/>
        <w:t>bieżące, ponoszone będą przez beneficjentów w podziale na źródła finansowania, zgodnym z metodologią zadeklarowaną przez beneficjentów.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AB5A4D" w14:paraId="266C51A8" w14:textId="77777777" w:rsidTr="00133F9D">
        <w:tc>
          <w:tcPr>
            <w:tcW w:w="9062" w:type="dxa"/>
            <w:shd w:val="clear" w:color="auto" w:fill="BFBFBF" w:themeFill="background1" w:themeFillShade="BF"/>
          </w:tcPr>
          <w:p w14:paraId="4D7F444E" w14:textId="77777777" w:rsidR="00142096" w:rsidRPr="00AB5A4D" w:rsidRDefault="00142096" w:rsidP="00AB5A4D">
            <w:pPr>
              <w:pStyle w:val="Nagwek3"/>
              <w:spacing w:before="120" w:after="120" w:line="276" w:lineRule="auto"/>
              <w:jc w:val="left"/>
              <w:outlineLvl w:val="2"/>
              <w:rPr>
                <w:rFonts w:asciiTheme="minorHAnsi" w:hAnsiTheme="minorHAnsi" w:cstheme="minorHAnsi"/>
                <w:noProof/>
                <w:lang w:val="pl-PL"/>
              </w:rPr>
            </w:pPr>
            <w:r w:rsidRPr="00AB5A4D">
              <w:rPr>
                <w:rFonts w:asciiTheme="minorHAnsi" w:hAnsiTheme="minorHAnsi" w:cstheme="minorHAnsi"/>
                <w:noProof/>
                <w:lang w:val="pl-PL"/>
              </w:rPr>
              <w:t xml:space="preserve">Zakaz podwójnego finansowania  </w:t>
            </w:r>
          </w:p>
        </w:tc>
      </w:tr>
    </w:tbl>
    <w:p w14:paraId="2ECF22C8" w14:textId="77777777" w:rsidR="00142096" w:rsidRPr="00AB5A4D" w:rsidRDefault="00142096" w:rsidP="00AB5A4D">
      <w:p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W ramach projektów współfinansowanych ze środków Unii Europejskiej niedozwolone jest podwójne finansowanie wydatków. Podwójne finansowanie oznacza w szczególności:</w:t>
      </w:r>
    </w:p>
    <w:p w14:paraId="5B760F32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5B31E860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24AC8457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095DD2CD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AB5A4D" w14:paraId="73CE1454" w14:textId="77777777" w:rsidTr="000F6C3D">
        <w:trPr>
          <w:trHeight w:val="1675"/>
        </w:trPr>
        <w:tc>
          <w:tcPr>
            <w:tcW w:w="8954" w:type="dxa"/>
            <w:shd w:val="clear" w:color="auto" w:fill="F2F2F2"/>
          </w:tcPr>
          <w:p w14:paraId="3B923A29" w14:textId="77777777" w:rsidR="00142096" w:rsidRPr="00AB5A4D" w:rsidRDefault="00142096" w:rsidP="00AB5A4D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AB5A4D">
              <w:rPr>
                <w:rFonts w:cstheme="minorHAnsi"/>
                <w:b/>
                <w:sz w:val="24"/>
                <w:szCs w:val="24"/>
              </w:rPr>
              <w:t>UWAGA!</w:t>
            </w:r>
            <w:r w:rsidRPr="00AB5A4D">
              <w:rPr>
                <w:rFonts w:cstheme="minorHAnsi"/>
                <w:sz w:val="24"/>
                <w:szCs w:val="24"/>
              </w:rPr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43EEC7C3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3A725763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sytuacja, w której środki na prefinansowanie wkładu unijnego zostały pozyskane w formie kredytu lub pożyczki, które następnie zostały umorzone,</w:t>
      </w:r>
    </w:p>
    <w:p w14:paraId="4F8F38BF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objęcie kosztów kwalifikowalnych projektu jednocześnie wsparciem pożyczkowym i gwarancyjnym,</w:t>
      </w:r>
    </w:p>
    <w:p w14:paraId="4480D1AD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lastRenderedPageBreak/>
        <w:t>zakup używanego środka trwałego, który w ciągu 7 poprzednich lat (10 lat dla nieruchomości) był współfinansowany ze środków Unii Europejskiej lub/oraz dotacji z krajowych środków publicznych,</w:t>
      </w:r>
    </w:p>
    <w:p w14:paraId="1CF8AEF8" w14:textId="77777777" w:rsidR="00142096" w:rsidRPr="00AB5A4D" w:rsidRDefault="00142096" w:rsidP="00AB5A4D">
      <w:pPr>
        <w:numPr>
          <w:ilvl w:val="0"/>
          <w:numId w:val="2"/>
        </w:numPr>
        <w:spacing w:before="120" w:after="120"/>
        <w:rPr>
          <w:rFonts w:cstheme="minorHAnsi"/>
          <w:sz w:val="24"/>
          <w:szCs w:val="24"/>
          <w:lang w:eastAsia="x-none"/>
        </w:rPr>
      </w:pPr>
      <w:r w:rsidRPr="00AB5A4D">
        <w:rPr>
          <w:rFonts w:cstheme="minorHAnsi"/>
          <w:sz w:val="24"/>
          <w:szCs w:val="24"/>
          <w:lang w:eastAsia="x-none"/>
        </w:rPr>
        <w:t>rozliczenie tego samego wydatku w kosztach pośrednich oraz kosztach bezpośrednich projektu.</w:t>
      </w:r>
    </w:p>
    <w:p w14:paraId="1D586DAA" w14:textId="77777777" w:rsidR="00142096" w:rsidRPr="00AB5A4D" w:rsidRDefault="00142096" w:rsidP="00AB5A4D">
      <w:pPr>
        <w:spacing w:before="120" w:after="120"/>
        <w:rPr>
          <w:rFonts w:cstheme="minorHAnsi"/>
          <w:sz w:val="24"/>
          <w:szCs w:val="24"/>
        </w:rPr>
      </w:pPr>
    </w:p>
    <w:sectPr w:rsidR="00142096" w:rsidRPr="00AB5A4D" w:rsidSect="005E01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2EAE5" w14:textId="77777777" w:rsidR="007241BC" w:rsidRPr="00A449D2" w:rsidRDefault="007241BC" w:rsidP="00A449D2">
      <w:pPr>
        <w:spacing w:after="0" w:line="240" w:lineRule="auto"/>
      </w:pPr>
      <w:r>
        <w:separator/>
      </w:r>
    </w:p>
  </w:endnote>
  <w:endnote w:type="continuationSeparator" w:id="0">
    <w:p w14:paraId="644AAA4F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B2C" w14:textId="77777777" w:rsidR="00FC700E" w:rsidRDefault="00FC70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28D7" w14:textId="77777777" w:rsidR="00FC700E" w:rsidRDefault="00FC70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0F1E" w14:textId="77777777" w:rsidR="00FC700E" w:rsidRDefault="00FC7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6E18A" w14:textId="77777777" w:rsidR="007241BC" w:rsidRPr="00A449D2" w:rsidRDefault="007241BC" w:rsidP="00A449D2">
      <w:pPr>
        <w:spacing w:after="0" w:line="240" w:lineRule="auto"/>
      </w:pPr>
      <w:r>
        <w:separator/>
      </w:r>
    </w:p>
  </w:footnote>
  <w:footnote w:type="continuationSeparator" w:id="0">
    <w:p w14:paraId="3C5108C5" w14:textId="77777777" w:rsidR="007241BC" w:rsidRPr="00A449D2" w:rsidRDefault="007241BC" w:rsidP="00A449D2">
      <w:pPr>
        <w:spacing w:after="0" w:line="240" w:lineRule="auto"/>
      </w:pPr>
      <w:r>
        <w:continuationSeparator/>
      </w:r>
    </w:p>
  </w:footnote>
  <w:footnote w:id="1">
    <w:p w14:paraId="6A200B28" w14:textId="642A0BF8" w:rsidR="00790C12" w:rsidRPr="00790C12" w:rsidRDefault="00790C12" w:rsidP="00133F9D">
      <w:pPr>
        <w:spacing w:after="0" w:line="240" w:lineRule="auto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</w:t>
      </w:r>
      <w:r w:rsidR="001B187E">
        <w:rPr>
          <w:rFonts w:ascii="Calibri" w:hAnsi="Calibri"/>
          <w:sz w:val="18"/>
          <w:szCs w:val="18"/>
        </w:rPr>
        <w:t>rześnia 1994 r. o rachunkowości</w:t>
      </w:r>
      <w:r w:rsidRPr="00790C12">
        <w:rPr>
          <w:rFonts w:ascii="Calibri" w:hAnsi="Calibri"/>
          <w:sz w:val="18"/>
          <w:szCs w:val="18"/>
        </w:rPr>
        <w:t xml:space="preserve">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2">
    <w:p w14:paraId="6A58DD36" w14:textId="77777777" w:rsidR="00790C12" w:rsidRPr="00695713" w:rsidRDefault="00790C12" w:rsidP="00133F9D">
      <w:pPr>
        <w:pStyle w:val="Tekstprzypisudolnego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286D" w14:textId="77777777" w:rsidR="00FC700E" w:rsidRDefault="00FC70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3BCE" w14:textId="77777777" w:rsidR="00FC700E" w:rsidRDefault="00FC70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9841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4A76C11B" wp14:editId="355EE95B">
          <wp:extent cx="5760720" cy="817245"/>
          <wp:effectExtent l="0" t="0" r="0" b="190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F2913"/>
    <w:multiLevelType w:val="hybridMultilevel"/>
    <w:tmpl w:val="FF0C139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5529EE"/>
    <w:multiLevelType w:val="hybridMultilevel"/>
    <w:tmpl w:val="CEE00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C0714"/>
    <w:multiLevelType w:val="hybridMultilevel"/>
    <w:tmpl w:val="C396E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354663">
    <w:abstractNumId w:val="8"/>
  </w:num>
  <w:num w:numId="2" w16cid:durableId="655257343">
    <w:abstractNumId w:val="1"/>
  </w:num>
  <w:num w:numId="3" w16cid:durableId="1733696426">
    <w:abstractNumId w:val="3"/>
  </w:num>
  <w:num w:numId="4" w16cid:durableId="1018040081">
    <w:abstractNumId w:val="0"/>
  </w:num>
  <w:num w:numId="5" w16cid:durableId="55399610">
    <w:abstractNumId w:val="7"/>
  </w:num>
  <w:num w:numId="6" w16cid:durableId="941646257">
    <w:abstractNumId w:val="2"/>
  </w:num>
  <w:num w:numId="7" w16cid:durableId="1357729494">
    <w:abstractNumId w:val="6"/>
  </w:num>
  <w:num w:numId="8" w16cid:durableId="1291206860">
    <w:abstractNumId w:val="5"/>
  </w:num>
  <w:num w:numId="9" w16cid:durableId="12941397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E7"/>
    <w:rsid w:val="000020FD"/>
    <w:rsid w:val="000234B2"/>
    <w:rsid w:val="00024D90"/>
    <w:rsid w:val="00026E9B"/>
    <w:rsid w:val="00041716"/>
    <w:rsid w:val="000426A4"/>
    <w:rsid w:val="00053C45"/>
    <w:rsid w:val="00061B95"/>
    <w:rsid w:val="00063790"/>
    <w:rsid w:val="00066EAF"/>
    <w:rsid w:val="000706E9"/>
    <w:rsid w:val="00094990"/>
    <w:rsid w:val="000B430D"/>
    <w:rsid w:val="000B5C15"/>
    <w:rsid w:val="000D063A"/>
    <w:rsid w:val="000E003F"/>
    <w:rsid w:val="000E09E1"/>
    <w:rsid w:val="000E50A3"/>
    <w:rsid w:val="000E7CF2"/>
    <w:rsid w:val="000F6439"/>
    <w:rsid w:val="000F6C3D"/>
    <w:rsid w:val="000F77E7"/>
    <w:rsid w:val="00101B1E"/>
    <w:rsid w:val="00107343"/>
    <w:rsid w:val="00113AF7"/>
    <w:rsid w:val="0011616B"/>
    <w:rsid w:val="001250C4"/>
    <w:rsid w:val="00126AA3"/>
    <w:rsid w:val="001329B9"/>
    <w:rsid w:val="00133F9D"/>
    <w:rsid w:val="00135DEE"/>
    <w:rsid w:val="001378B1"/>
    <w:rsid w:val="00142096"/>
    <w:rsid w:val="001457B7"/>
    <w:rsid w:val="00146641"/>
    <w:rsid w:val="001552BC"/>
    <w:rsid w:val="00186DC3"/>
    <w:rsid w:val="00187D0D"/>
    <w:rsid w:val="00194B9B"/>
    <w:rsid w:val="001B187E"/>
    <w:rsid w:val="001B2E2E"/>
    <w:rsid w:val="001B5959"/>
    <w:rsid w:val="001C0525"/>
    <w:rsid w:val="001C645B"/>
    <w:rsid w:val="001C7AD2"/>
    <w:rsid w:val="001D741C"/>
    <w:rsid w:val="001E2AA8"/>
    <w:rsid w:val="001F0233"/>
    <w:rsid w:val="001F08D9"/>
    <w:rsid w:val="001F1E5E"/>
    <w:rsid w:val="001F4246"/>
    <w:rsid w:val="0021033D"/>
    <w:rsid w:val="00227784"/>
    <w:rsid w:val="00231098"/>
    <w:rsid w:val="0024013C"/>
    <w:rsid w:val="00250DB2"/>
    <w:rsid w:val="00261415"/>
    <w:rsid w:val="00277447"/>
    <w:rsid w:val="00284C9C"/>
    <w:rsid w:val="00284CE0"/>
    <w:rsid w:val="00293DCB"/>
    <w:rsid w:val="002A71C1"/>
    <w:rsid w:val="002A7EBC"/>
    <w:rsid w:val="002B2FF5"/>
    <w:rsid w:val="002C0B4F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40ADB"/>
    <w:rsid w:val="00344FC2"/>
    <w:rsid w:val="00360451"/>
    <w:rsid w:val="003701ED"/>
    <w:rsid w:val="0037725C"/>
    <w:rsid w:val="00380438"/>
    <w:rsid w:val="003C7367"/>
    <w:rsid w:val="003D6FC7"/>
    <w:rsid w:val="003E370F"/>
    <w:rsid w:val="003F102F"/>
    <w:rsid w:val="003F48CD"/>
    <w:rsid w:val="003F4B5A"/>
    <w:rsid w:val="003F7936"/>
    <w:rsid w:val="00400EE6"/>
    <w:rsid w:val="00415F82"/>
    <w:rsid w:val="00430D91"/>
    <w:rsid w:val="00437D2C"/>
    <w:rsid w:val="00440B40"/>
    <w:rsid w:val="004463B3"/>
    <w:rsid w:val="00447028"/>
    <w:rsid w:val="00451B06"/>
    <w:rsid w:val="00463A80"/>
    <w:rsid w:val="004718E5"/>
    <w:rsid w:val="004744C9"/>
    <w:rsid w:val="004806C2"/>
    <w:rsid w:val="00481DCC"/>
    <w:rsid w:val="004829D4"/>
    <w:rsid w:val="004A2FAC"/>
    <w:rsid w:val="004C5CCF"/>
    <w:rsid w:val="004C7E68"/>
    <w:rsid w:val="004D39B1"/>
    <w:rsid w:val="004D5E58"/>
    <w:rsid w:val="004E4178"/>
    <w:rsid w:val="00512245"/>
    <w:rsid w:val="0052415F"/>
    <w:rsid w:val="00534339"/>
    <w:rsid w:val="005478C4"/>
    <w:rsid w:val="00552C8F"/>
    <w:rsid w:val="00555B63"/>
    <w:rsid w:val="00582C3B"/>
    <w:rsid w:val="00586429"/>
    <w:rsid w:val="005935F2"/>
    <w:rsid w:val="005A7498"/>
    <w:rsid w:val="005B5B5F"/>
    <w:rsid w:val="005C007F"/>
    <w:rsid w:val="005C148A"/>
    <w:rsid w:val="005D1BE0"/>
    <w:rsid w:val="005D1F1A"/>
    <w:rsid w:val="005D65CA"/>
    <w:rsid w:val="005D7716"/>
    <w:rsid w:val="005E0052"/>
    <w:rsid w:val="005E010C"/>
    <w:rsid w:val="005E30F2"/>
    <w:rsid w:val="005E4044"/>
    <w:rsid w:val="005E4F96"/>
    <w:rsid w:val="00611C64"/>
    <w:rsid w:val="00636C2C"/>
    <w:rsid w:val="006425F8"/>
    <w:rsid w:val="006452CF"/>
    <w:rsid w:val="00646734"/>
    <w:rsid w:val="00647A5C"/>
    <w:rsid w:val="00651ACB"/>
    <w:rsid w:val="00657967"/>
    <w:rsid w:val="0066584D"/>
    <w:rsid w:val="00667C73"/>
    <w:rsid w:val="0069292A"/>
    <w:rsid w:val="006A4596"/>
    <w:rsid w:val="006B1E5B"/>
    <w:rsid w:val="006B7152"/>
    <w:rsid w:val="006B764E"/>
    <w:rsid w:val="006C0BC5"/>
    <w:rsid w:val="006C1CDA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338C"/>
    <w:rsid w:val="007241BC"/>
    <w:rsid w:val="00743D84"/>
    <w:rsid w:val="00743F00"/>
    <w:rsid w:val="00753ACB"/>
    <w:rsid w:val="00755573"/>
    <w:rsid w:val="0075670A"/>
    <w:rsid w:val="00757796"/>
    <w:rsid w:val="00761823"/>
    <w:rsid w:val="007655B7"/>
    <w:rsid w:val="007857FB"/>
    <w:rsid w:val="00790C12"/>
    <w:rsid w:val="00790D95"/>
    <w:rsid w:val="00792800"/>
    <w:rsid w:val="007A5326"/>
    <w:rsid w:val="007B1EA0"/>
    <w:rsid w:val="007B4F28"/>
    <w:rsid w:val="007B53A9"/>
    <w:rsid w:val="007B59F8"/>
    <w:rsid w:val="007C4DF2"/>
    <w:rsid w:val="007C5536"/>
    <w:rsid w:val="007C5A4C"/>
    <w:rsid w:val="007D3CC6"/>
    <w:rsid w:val="007D52C8"/>
    <w:rsid w:val="007D708A"/>
    <w:rsid w:val="007F00AC"/>
    <w:rsid w:val="007F1A33"/>
    <w:rsid w:val="007F51A0"/>
    <w:rsid w:val="0080082E"/>
    <w:rsid w:val="00832770"/>
    <w:rsid w:val="00833D78"/>
    <w:rsid w:val="00836AF9"/>
    <w:rsid w:val="00854309"/>
    <w:rsid w:val="00872FE9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373C6"/>
    <w:rsid w:val="009401F0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19C0"/>
    <w:rsid w:val="009B7085"/>
    <w:rsid w:val="009D4D3C"/>
    <w:rsid w:val="009E4220"/>
    <w:rsid w:val="009F4CA4"/>
    <w:rsid w:val="00A151F6"/>
    <w:rsid w:val="00A215A1"/>
    <w:rsid w:val="00A26A9E"/>
    <w:rsid w:val="00A27CA6"/>
    <w:rsid w:val="00A35ACC"/>
    <w:rsid w:val="00A40CD2"/>
    <w:rsid w:val="00A449D2"/>
    <w:rsid w:val="00A50F78"/>
    <w:rsid w:val="00A51F26"/>
    <w:rsid w:val="00A77B9D"/>
    <w:rsid w:val="00A82DD4"/>
    <w:rsid w:val="00A945FF"/>
    <w:rsid w:val="00A96B87"/>
    <w:rsid w:val="00AA1BB1"/>
    <w:rsid w:val="00AA63D8"/>
    <w:rsid w:val="00AB1EDC"/>
    <w:rsid w:val="00AB4A3E"/>
    <w:rsid w:val="00AB5A4D"/>
    <w:rsid w:val="00AB5B63"/>
    <w:rsid w:val="00AC0B2F"/>
    <w:rsid w:val="00AD0FE5"/>
    <w:rsid w:val="00AD1845"/>
    <w:rsid w:val="00AD1A6C"/>
    <w:rsid w:val="00B04F53"/>
    <w:rsid w:val="00B07242"/>
    <w:rsid w:val="00B161A7"/>
    <w:rsid w:val="00B27F6F"/>
    <w:rsid w:val="00B30923"/>
    <w:rsid w:val="00B32E65"/>
    <w:rsid w:val="00B33039"/>
    <w:rsid w:val="00B35EE7"/>
    <w:rsid w:val="00B41730"/>
    <w:rsid w:val="00B50B9A"/>
    <w:rsid w:val="00B6299A"/>
    <w:rsid w:val="00B62E6D"/>
    <w:rsid w:val="00B73D9C"/>
    <w:rsid w:val="00B8090E"/>
    <w:rsid w:val="00B912C3"/>
    <w:rsid w:val="00BA7C53"/>
    <w:rsid w:val="00BB7AED"/>
    <w:rsid w:val="00BC1171"/>
    <w:rsid w:val="00BD75E7"/>
    <w:rsid w:val="00C072A6"/>
    <w:rsid w:val="00C07D73"/>
    <w:rsid w:val="00C1292F"/>
    <w:rsid w:val="00C154E8"/>
    <w:rsid w:val="00C2245F"/>
    <w:rsid w:val="00C22CA5"/>
    <w:rsid w:val="00C32BFF"/>
    <w:rsid w:val="00C32DCC"/>
    <w:rsid w:val="00C55A7A"/>
    <w:rsid w:val="00C55CE4"/>
    <w:rsid w:val="00C64746"/>
    <w:rsid w:val="00C67757"/>
    <w:rsid w:val="00C7029D"/>
    <w:rsid w:val="00C70D2D"/>
    <w:rsid w:val="00C94DFF"/>
    <w:rsid w:val="00C953F9"/>
    <w:rsid w:val="00CB32ED"/>
    <w:rsid w:val="00CC1DAD"/>
    <w:rsid w:val="00CC3D0C"/>
    <w:rsid w:val="00CD29AC"/>
    <w:rsid w:val="00CD44BC"/>
    <w:rsid w:val="00D01249"/>
    <w:rsid w:val="00D02FEF"/>
    <w:rsid w:val="00D12B39"/>
    <w:rsid w:val="00D35AEC"/>
    <w:rsid w:val="00D3622F"/>
    <w:rsid w:val="00D52168"/>
    <w:rsid w:val="00D81C36"/>
    <w:rsid w:val="00D944E4"/>
    <w:rsid w:val="00D96410"/>
    <w:rsid w:val="00DA1462"/>
    <w:rsid w:val="00DA3053"/>
    <w:rsid w:val="00DB4354"/>
    <w:rsid w:val="00DD5AD2"/>
    <w:rsid w:val="00DD738D"/>
    <w:rsid w:val="00DE086C"/>
    <w:rsid w:val="00DF0FDF"/>
    <w:rsid w:val="00E02C7C"/>
    <w:rsid w:val="00E07984"/>
    <w:rsid w:val="00E12212"/>
    <w:rsid w:val="00E31F1E"/>
    <w:rsid w:val="00E32BAB"/>
    <w:rsid w:val="00E4170A"/>
    <w:rsid w:val="00E4630A"/>
    <w:rsid w:val="00E5287E"/>
    <w:rsid w:val="00E701DA"/>
    <w:rsid w:val="00E774D0"/>
    <w:rsid w:val="00E77950"/>
    <w:rsid w:val="00E92BC5"/>
    <w:rsid w:val="00EB032C"/>
    <w:rsid w:val="00EB1203"/>
    <w:rsid w:val="00EB1FB1"/>
    <w:rsid w:val="00EC231C"/>
    <w:rsid w:val="00EC28DB"/>
    <w:rsid w:val="00ED12FD"/>
    <w:rsid w:val="00ED6F64"/>
    <w:rsid w:val="00ED73D7"/>
    <w:rsid w:val="00EE3BC9"/>
    <w:rsid w:val="00EF30D4"/>
    <w:rsid w:val="00EF4346"/>
    <w:rsid w:val="00F056C9"/>
    <w:rsid w:val="00F20DE1"/>
    <w:rsid w:val="00F2591B"/>
    <w:rsid w:val="00F35C48"/>
    <w:rsid w:val="00F36959"/>
    <w:rsid w:val="00F4165D"/>
    <w:rsid w:val="00F51CCE"/>
    <w:rsid w:val="00FA57D1"/>
    <w:rsid w:val="00FB1BB7"/>
    <w:rsid w:val="00FB3429"/>
    <w:rsid w:val="00FC27B5"/>
    <w:rsid w:val="00FC5FDA"/>
    <w:rsid w:val="00FC700E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FB9A07"/>
  <w15:docId w15:val="{F95CFF27-F1F0-485D-82B0-52E97D4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735D6-A489-495C-9344-3A30D026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1257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Maciej Wróblewski</cp:lastModifiedBy>
  <cp:revision>6</cp:revision>
  <cp:lastPrinted>2018-04-17T09:35:00Z</cp:lastPrinted>
  <dcterms:created xsi:type="dcterms:W3CDTF">2022-10-04T14:53:00Z</dcterms:created>
  <dcterms:modified xsi:type="dcterms:W3CDTF">2022-10-05T11:12:00Z</dcterms:modified>
</cp:coreProperties>
</file>