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B4950" w14:textId="77777777" w:rsidR="006C721E" w:rsidRDefault="006C721E" w:rsidP="006C721E">
      <w:pPr>
        <w:pStyle w:val="Default"/>
        <w:rPr>
          <w:rFonts w:asciiTheme="minorHAnsi" w:hAnsiTheme="minorHAnsi"/>
        </w:rPr>
      </w:pPr>
    </w:p>
    <w:p w14:paraId="6628487E" w14:textId="01FBC45F" w:rsidR="00B35EE7" w:rsidRPr="00254C1C" w:rsidRDefault="00B35EE7" w:rsidP="00254C1C">
      <w:pPr>
        <w:pStyle w:val="Default"/>
        <w:spacing w:line="276" w:lineRule="auto"/>
        <w:rPr>
          <w:rFonts w:asciiTheme="minorHAnsi" w:hAnsiTheme="minorHAnsi" w:cstheme="minorHAnsi"/>
        </w:rPr>
      </w:pPr>
      <w:r w:rsidRPr="00254C1C">
        <w:rPr>
          <w:rFonts w:asciiTheme="minorHAnsi" w:hAnsiTheme="minorHAnsi" w:cstheme="minorHAnsi"/>
          <w:b/>
          <w:bCs/>
        </w:rPr>
        <w:t xml:space="preserve">Standard oraz ceny rynkowe najczęściej finansowanych wydatków w projektach w ramach Poddziałania </w:t>
      </w:r>
      <w:r w:rsidR="006D20E2" w:rsidRPr="00254C1C">
        <w:rPr>
          <w:rFonts w:asciiTheme="minorHAnsi" w:hAnsiTheme="minorHAnsi" w:cstheme="minorHAnsi"/>
          <w:b/>
          <w:bCs/>
        </w:rPr>
        <w:t>9.</w:t>
      </w:r>
      <w:r w:rsidR="00647DD4">
        <w:rPr>
          <w:rFonts w:asciiTheme="minorHAnsi" w:hAnsiTheme="minorHAnsi" w:cstheme="minorHAnsi"/>
          <w:b/>
          <w:bCs/>
        </w:rPr>
        <w:t>1</w:t>
      </w:r>
      <w:r w:rsidR="006D20E2" w:rsidRPr="00254C1C">
        <w:rPr>
          <w:rFonts w:asciiTheme="minorHAnsi" w:hAnsiTheme="minorHAnsi" w:cstheme="minorHAnsi"/>
          <w:b/>
          <w:bCs/>
        </w:rPr>
        <w:t>.1</w:t>
      </w:r>
    </w:p>
    <w:p w14:paraId="32720016" w14:textId="77777777" w:rsidR="00B35EE7" w:rsidRPr="00254C1C" w:rsidRDefault="00B35EE7" w:rsidP="00254C1C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5A7A1E90" w14:textId="32A92FAD" w:rsidR="003F48CD" w:rsidRPr="002B235F" w:rsidRDefault="003F48CD" w:rsidP="00254C1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B235F">
        <w:rPr>
          <w:rFonts w:asciiTheme="minorHAnsi" w:hAnsiTheme="minorHAnsi" w:cstheme="minorHAnsi"/>
          <w:sz w:val="22"/>
          <w:szCs w:val="22"/>
        </w:rPr>
        <w:t>Dokument ten określa k</w:t>
      </w:r>
      <w:r w:rsidR="00B35EE7" w:rsidRPr="002B235F">
        <w:rPr>
          <w:rFonts w:asciiTheme="minorHAnsi" w:hAnsiTheme="minorHAnsi" w:cstheme="minorHAnsi"/>
          <w:sz w:val="22"/>
          <w:szCs w:val="22"/>
        </w:rPr>
        <w:t xml:space="preserve">atalog </w:t>
      </w:r>
      <w:r w:rsidRPr="002B235F">
        <w:rPr>
          <w:rFonts w:asciiTheme="minorHAnsi" w:hAnsiTheme="minorHAnsi" w:cstheme="minorHAnsi"/>
          <w:sz w:val="22"/>
          <w:szCs w:val="22"/>
        </w:rPr>
        <w:t xml:space="preserve">najczęściej finansowanych kosztów w ramach Poddziałania </w:t>
      </w:r>
      <w:r w:rsidR="006D20E2" w:rsidRPr="002B235F">
        <w:rPr>
          <w:rFonts w:asciiTheme="minorHAnsi" w:hAnsiTheme="minorHAnsi" w:cstheme="minorHAnsi"/>
          <w:sz w:val="22"/>
          <w:szCs w:val="22"/>
        </w:rPr>
        <w:t>9</w:t>
      </w:r>
      <w:r w:rsidR="00A40CD2" w:rsidRPr="002B235F">
        <w:rPr>
          <w:rFonts w:asciiTheme="minorHAnsi" w:hAnsiTheme="minorHAnsi" w:cstheme="minorHAnsi"/>
          <w:sz w:val="22"/>
          <w:szCs w:val="22"/>
        </w:rPr>
        <w:t>.</w:t>
      </w:r>
      <w:r w:rsidR="00647DD4">
        <w:rPr>
          <w:rFonts w:asciiTheme="minorHAnsi" w:hAnsiTheme="minorHAnsi" w:cstheme="minorHAnsi"/>
          <w:sz w:val="22"/>
          <w:szCs w:val="22"/>
        </w:rPr>
        <w:t>1</w:t>
      </w:r>
      <w:r w:rsidR="00A40CD2" w:rsidRPr="002B235F">
        <w:rPr>
          <w:rFonts w:asciiTheme="minorHAnsi" w:hAnsiTheme="minorHAnsi" w:cstheme="minorHAnsi"/>
          <w:sz w:val="22"/>
          <w:szCs w:val="22"/>
        </w:rPr>
        <w:t>.</w:t>
      </w:r>
      <w:r w:rsidR="006D20E2" w:rsidRPr="002B235F">
        <w:rPr>
          <w:rFonts w:asciiTheme="minorHAnsi" w:hAnsiTheme="minorHAnsi" w:cstheme="minorHAnsi"/>
          <w:sz w:val="22"/>
          <w:szCs w:val="22"/>
        </w:rPr>
        <w:t>1</w:t>
      </w:r>
      <w:r w:rsidR="008A13A2" w:rsidRPr="002B235F">
        <w:rPr>
          <w:rFonts w:asciiTheme="minorHAnsi" w:hAnsiTheme="minorHAnsi" w:cstheme="minorHAnsi"/>
          <w:sz w:val="22"/>
          <w:szCs w:val="22"/>
        </w:rPr>
        <w:t xml:space="preserve"> </w:t>
      </w:r>
      <w:r w:rsidRPr="002B235F">
        <w:rPr>
          <w:rFonts w:asciiTheme="minorHAnsi" w:hAnsiTheme="minorHAnsi" w:cstheme="minorHAnsi"/>
          <w:sz w:val="22"/>
          <w:szCs w:val="22"/>
        </w:rPr>
        <w:t xml:space="preserve">oraz zawiera zalecenia odnośnie </w:t>
      </w:r>
      <w:r w:rsidR="006B1E5B" w:rsidRPr="002B235F">
        <w:rPr>
          <w:rFonts w:asciiTheme="minorHAnsi" w:hAnsiTheme="minorHAnsi" w:cstheme="minorHAnsi"/>
          <w:sz w:val="22"/>
          <w:szCs w:val="22"/>
        </w:rPr>
        <w:t xml:space="preserve">do </w:t>
      </w:r>
      <w:r w:rsidRPr="002B235F">
        <w:rPr>
          <w:rFonts w:asciiTheme="minorHAnsi" w:hAnsiTheme="minorHAnsi" w:cstheme="minorHAnsi"/>
          <w:sz w:val="22"/>
          <w:szCs w:val="22"/>
        </w:rPr>
        <w:t>zasad konstruowania budżetu szczegółowego projektu.</w:t>
      </w:r>
    </w:p>
    <w:p w14:paraId="19F35A99" w14:textId="77777777" w:rsidR="003F48CD" w:rsidRPr="002B235F" w:rsidRDefault="003F48CD" w:rsidP="00254C1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E762B8" w14:textId="77777777" w:rsidR="00B35EE7" w:rsidRPr="002B235F" w:rsidRDefault="003F48CD" w:rsidP="00254C1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B235F">
        <w:rPr>
          <w:rFonts w:asciiTheme="minorHAnsi" w:hAnsiTheme="minorHAnsi" w:cstheme="minorHAnsi"/>
          <w:sz w:val="22"/>
          <w:szCs w:val="22"/>
        </w:rPr>
        <w:t>Katalog kosztów nie ma charakteru zamkniętego</w:t>
      </w:r>
      <w:r w:rsidR="00B35EE7" w:rsidRPr="002B235F">
        <w:rPr>
          <w:rFonts w:asciiTheme="minorHAnsi" w:hAnsiTheme="minorHAnsi" w:cstheme="minorHAnsi"/>
          <w:sz w:val="22"/>
          <w:szCs w:val="22"/>
        </w:rPr>
        <w:t>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</w:t>
      </w:r>
      <w:r w:rsidR="00EB032C" w:rsidRPr="002B235F">
        <w:rPr>
          <w:rFonts w:asciiTheme="minorHAnsi" w:hAnsiTheme="minorHAnsi" w:cstheme="minorHAnsi"/>
          <w:sz w:val="22"/>
          <w:szCs w:val="22"/>
        </w:rPr>
        <w:t xml:space="preserve"> itp.</w:t>
      </w:r>
      <w:r w:rsidR="00B35EE7" w:rsidRPr="002B235F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2C2FD17" w14:textId="77777777" w:rsidR="003F48CD" w:rsidRPr="002B235F" w:rsidRDefault="003F48CD" w:rsidP="00254C1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D7449CD" w14:textId="560F1097" w:rsidR="00B35EE7" w:rsidRPr="002B235F" w:rsidRDefault="00B35EE7" w:rsidP="00254C1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B235F">
        <w:rPr>
          <w:rFonts w:asciiTheme="minorHAnsi" w:hAnsiTheme="minorHAnsi" w:cstheme="minorHAnsi"/>
          <w:sz w:val="22"/>
          <w:szCs w:val="22"/>
        </w:rPr>
        <w:t>Kwoty ujęte w zestawieniu uwzględniają wartość brutto wydatku</w:t>
      </w:r>
      <w:r w:rsidR="004718E5" w:rsidRPr="002B235F">
        <w:rPr>
          <w:rFonts w:asciiTheme="minorHAnsi" w:hAnsiTheme="minorHAnsi" w:cstheme="minorHAnsi"/>
          <w:sz w:val="22"/>
          <w:szCs w:val="22"/>
        </w:rPr>
        <w:t xml:space="preserve"> (z wyjątkiem wynagrodzeń, które są szacowane z uwzględnieniem kosztów pracodawcy)</w:t>
      </w:r>
      <w:r w:rsidRPr="002B235F">
        <w:rPr>
          <w:rFonts w:asciiTheme="minorHAnsi" w:hAnsiTheme="minorHAnsi" w:cstheme="minorHAnsi"/>
          <w:sz w:val="22"/>
          <w:szCs w:val="22"/>
        </w:rPr>
        <w:t xml:space="preserve">. </w:t>
      </w:r>
      <w:r w:rsidR="00360451" w:rsidRPr="002B235F">
        <w:rPr>
          <w:rFonts w:asciiTheme="minorHAnsi" w:hAnsiTheme="minorHAnsi" w:cstheme="minorHAnsi"/>
          <w:sz w:val="22"/>
          <w:szCs w:val="22"/>
        </w:rPr>
        <w:t>Niemniej, wydatki na wynagrodzenie personelu są kwalifikowalne pod warunkiem, że ich wysokość odpowiada stawkom faktycznie stosowanym u wnioskodawcy/beneficjenta poza projektami współfinansowanymi z funduszy strukturalnych i F</w:t>
      </w:r>
      <w:r w:rsidR="006A6D42">
        <w:rPr>
          <w:rFonts w:asciiTheme="minorHAnsi" w:hAnsiTheme="minorHAnsi" w:cstheme="minorHAnsi"/>
          <w:sz w:val="22"/>
          <w:szCs w:val="22"/>
        </w:rPr>
        <w:t xml:space="preserve">unduszu </w:t>
      </w:r>
      <w:r w:rsidR="00360451" w:rsidRPr="002B235F">
        <w:rPr>
          <w:rFonts w:asciiTheme="minorHAnsi" w:hAnsiTheme="minorHAnsi" w:cstheme="minorHAnsi"/>
          <w:sz w:val="22"/>
          <w:szCs w:val="22"/>
        </w:rPr>
        <w:t>S</w:t>
      </w:r>
      <w:r w:rsidR="006A6D42">
        <w:rPr>
          <w:rFonts w:asciiTheme="minorHAnsi" w:hAnsiTheme="minorHAnsi" w:cstheme="minorHAnsi"/>
          <w:sz w:val="22"/>
          <w:szCs w:val="22"/>
        </w:rPr>
        <w:t>pójności</w:t>
      </w:r>
      <w:r w:rsidR="00360451" w:rsidRPr="002B235F">
        <w:rPr>
          <w:rFonts w:asciiTheme="minorHAnsi" w:hAnsiTheme="minorHAnsi" w:cstheme="minorHAnsi"/>
          <w:sz w:val="22"/>
          <w:szCs w:val="22"/>
        </w:rPr>
        <w:t xml:space="preserve"> na analogicznych stanowiskach lub na stanowiskach wymagających analogicznych kwalifikacji.</w:t>
      </w:r>
    </w:p>
    <w:p w14:paraId="31400D6C" w14:textId="77777777" w:rsidR="003F48CD" w:rsidRPr="00254C1C" w:rsidRDefault="003F48CD" w:rsidP="00254C1C">
      <w:pPr>
        <w:pStyle w:val="Default"/>
        <w:spacing w:line="276" w:lineRule="auto"/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42"/>
        <w:gridCol w:w="1701"/>
        <w:gridCol w:w="5812"/>
      </w:tblGrid>
      <w:tr w:rsidR="00D6604D" w:rsidRPr="00254C1C" w14:paraId="5C2D96A1" w14:textId="77777777" w:rsidTr="00FF07CE">
        <w:tc>
          <w:tcPr>
            <w:tcW w:w="456" w:type="dxa"/>
            <w:shd w:val="clear" w:color="auto" w:fill="D9D9D9"/>
          </w:tcPr>
          <w:p w14:paraId="014FBACF" w14:textId="77777777" w:rsidR="00D6604D" w:rsidRPr="00254C1C" w:rsidRDefault="00D6604D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42" w:type="dxa"/>
            <w:shd w:val="clear" w:color="auto" w:fill="D9D9D9"/>
          </w:tcPr>
          <w:p w14:paraId="6ABE511E" w14:textId="77777777" w:rsidR="00D6604D" w:rsidRPr="002B235F" w:rsidRDefault="00D6604D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kosztu</w:t>
            </w:r>
          </w:p>
        </w:tc>
        <w:tc>
          <w:tcPr>
            <w:tcW w:w="1701" w:type="dxa"/>
            <w:shd w:val="clear" w:color="auto" w:fill="D9D9D9"/>
          </w:tcPr>
          <w:p w14:paraId="223AD567" w14:textId="77777777" w:rsidR="00D6604D" w:rsidRPr="002B235F" w:rsidRDefault="00D6604D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Maksymalny koszt</w:t>
            </w:r>
          </w:p>
        </w:tc>
        <w:tc>
          <w:tcPr>
            <w:tcW w:w="5812" w:type="dxa"/>
            <w:shd w:val="clear" w:color="auto" w:fill="D9D9D9"/>
          </w:tcPr>
          <w:p w14:paraId="461985C4" w14:textId="77777777" w:rsidR="00D6604D" w:rsidRPr="002B235F" w:rsidRDefault="00D6604D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Oczekiwany standard/Uzasadnienie</w:t>
            </w:r>
          </w:p>
        </w:tc>
      </w:tr>
      <w:tr w:rsidR="00CD43F1" w:rsidRPr="00254C1C" w14:paraId="467ABD78" w14:textId="77777777" w:rsidTr="00A63DE4">
        <w:tc>
          <w:tcPr>
            <w:tcW w:w="456" w:type="dxa"/>
            <w:shd w:val="clear" w:color="auto" w:fill="auto"/>
          </w:tcPr>
          <w:p w14:paraId="5BF883F1" w14:textId="77777777" w:rsidR="00CD43F1" w:rsidRPr="002B235F" w:rsidRDefault="00CD43F1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B235F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642" w:type="dxa"/>
            <w:shd w:val="clear" w:color="auto" w:fill="auto"/>
          </w:tcPr>
          <w:p w14:paraId="67EA8C24" w14:textId="77777777" w:rsidR="00CD43F1" w:rsidRPr="002B235F" w:rsidRDefault="00CD43F1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Koszt przerwy kawowej</w:t>
            </w:r>
          </w:p>
        </w:tc>
        <w:tc>
          <w:tcPr>
            <w:tcW w:w="1701" w:type="dxa"/>
            <w:shd w:val="clear" w:color="auto" w:fill="auto"/>
          </w:tcPr>
          <w:p w14:paraId="2C0F27E2" w14:textId="77777777" w:rsidR="00CD43F1" w:rsidRPr="003A6FD8" w:rsidRDefault="00CD43F1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A6FD8">
              <w:rPr>
                <w:rFonts w:asciiTheme="minorHAnsi" w:hAnsiTheme="minorHAnsi" w:cstheme="minorHAnsi"/>
                <w:bCs/>
                <w:sz w:val="22"/>
                <w:szCs w:val="22"/>
              </w:rPr>
              <w:t>15 zł/osobę</w:t>
            </w:r>
          </w:p>
        </w:tc>
        <w:tc>
          <w:tcPr>
            <w:tcW w:w="5812" w:type="dxa"/>
            <w:shd w:val="clear" w:color="auto" w:fill="auto"/>
          </w:tcPr>
          <w:p w14:paraId="5C79C4AB" w14:textId="77777777" w:rsidR="00CD43F1" w:rsidRPr="002B235F" w:rsidRDefault="00CD43F1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Maksymalny koszt przerwy kawowej to 15 zł/osobę. Wydatek nie będzie kwalifikowany, jeżeli forma wsparcia w ramach której ma być świadczona przerwa kawowa dla tej samej grupy osób w danym dniu trwa krócej niż 4 godziny. Zakres: standardowa przerwa kawowa (kawa, herbata, woda, soki, ciastka, kanapki). Cena rynkowa powinna być uzależniona od rodzaju oferowanej usługi i jest niższa, jeśli finansowany jest mniejszy zakres usługi (np. kawa, herbata, woda, mleko, cukier cytryna bez drobnych lub słodkich przekąsek).</w:t>
            </w:r>
          </w:p>
        </w:tc>
      </w:tr>
      <w:tr w:rsidR="00CD43F1" w:rsidRPr="00254C1C" w14:paraId="2D2DBD8A" w14:textId="77777777" w:rsidTr="00A63DE4">
        <w:tc>
          <w:tcPr>
            <w:tcW w:w="456" w:type="dxa"/>
            <w:shd w:val="clear" w:color="auto" w:fill="auto"/>
          </w:tcPr>
          <w:p w14:paraId="6DC38D44" w14:textId="77777777" w:rsidR="00CD43F1" w:rsidRPr="002B235F" w:rsidRDefault="00CD43F1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B235F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14:paraId="020F6065" w14:textId="77777777" w:rsidR="00CD43F1" w:rsidRPr="002B235F" w:rsidRDefault="00CD43F1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Koszt przerwy obiadowej</w:t>
            </w:r>
          </w:p>
        </w:tc>
        <w:tc>
          <w:tcPr>
            <w:tcW w:w="1701" w:type="dxa"/>
            <w:shd w:val="clear" w:color="auto" w:fill="auto"/>
          </w:tcPr>
          <w:p w14:paraId="22F1AB61" w14:textId="77777777" w:rsidR="00CD43F1" w:rsidRPr="003A6FD8" w:rsidRDefault="00CD43F1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A6FD8">
              <w:rPr>
                <w:rFonts w:asciiTheme="minorHAnsi" w:hAnsiTheme="minorHAnsi" w:cstheme="minorHAnsi"/>
                <w:bCs/>
                <w:sz w:val="22"/>
                <w:szCs w:val="22"/>
              </w:rPr>
              <w:t>44 zł/osobę</w:t>
            </w:r>
          </w:p>
        </w:tc>
        <w:tc>
          <w:tcPr>
            <w:tcW w:w="5812" w:type="dxa"/>
            <w:shd w:val="clear" w:color="auto" w:fill="auto"/>
          </w:tcPr>
          <w:p w14:paraId="2C4873EB" w14:textId="77777777" w:rsidR="00CD43F1" w:rsidRPr="002B235F" w:rsidRDefault="00CD43F1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Maksymalny koszt przerwy obiadowej to 44 zł/osobę.</w:t>
            </w:r>
          </w:p>
          <w:p w14:paraId="751482BF" w14:textId="77777777" w:rsidR="00CD43F1" w:rsidRDefault="00CD43F1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kwalifikowania wydatku jest ograniczona do projektów, w których wsparcie dla tej samej grupy osób w danym dniu trwa nie krócej niż 6 godzin. Zakres: obejmuje dwa dania (zupa i drugie danie), przy czym istnieje możliwość szerszego zakresu usługi, o ile mieści się w określonej cenie rynkowej. Cena rynkowa powinna być uzależniona od rodzaju oferowanej usługi i jest niższa, jeśli finansowany jest mniejszy zakres usługi (np. obiad składający się tylko z drugiego dania).</w:t>
            </w:r>
          </w:p>
          <w:p w14:paraId="3697001A" w14:textId="77777777" w:rsidR="003739E7" w:rsidRDefault="003739E7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3BD0933" w14:textId="77777777" w:rsidR="003739E7" w:rsidRDefault="003739E7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42649BD" w14:textId="77777777" w:rsidR="003739E7" w:rsidRDefault="003739E7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93DA61" w14:textId="4616CF94" w:rsidR="003739E7" w:rsidRPr="002B235F" w:rsidRDefault="003739E7" w:rsidP="005C187F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43F1" w:rsidRPr="00254C1C" w14:paraId="30249A68" w14:textId="77777777" w:rsidTr="00FA5BDF">
        <w:tc>
          <w:tcPr>
            <w:tcW w:w="9611" w:type="dxa"/>
            <w:gridSpan w:val="4"/>
            <w:shd w:val="clear" w:color="auto" w:fill="F2F2F2" w:themeFill="background1" w:themeFillShade="F2"/>
          </w:tcPr>
          <w:p w14:paraId="4ECD2C2D" w14:textId="77777777" w:rsidR="00CD43F1" w:rsidRPr="002B235F" w:rsidRDefault="00CD43F1" w:rsidP="005C187F">
            <w:pPr>
              <w:tabs>
                <w:tab w:val="left" w:pos="2985"/>
              </w:tabs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  <w:b/>
                <w:noProof/>
              </w:rPr>
              <w:lastRenderedPageBreak/>
              <w:t>Instrumenty aktywizacji zawodowej</w:t>
            </w:r>
          </w:p>
        </w:tc>
      </w:tr>
      <w:tr w:rsidR="00CD43F1" w:rsidRPr="00254C1C" w14:paraId="4CE2F7D5" w14:textId="77777777" w:rsidTr="00FF07CE">
        <w:tc>
          <w:tcPr>
            <w:tcW w:w="456" w:type="dxa"/>
          </w:tcPr>
          <w:p w14:paraId="07445C61" w14:textId="77777777" w:rsidR="00CD43F1" w:rsidRPr="002B235F" w:rsidRDefault="00CD43F1" w:rsidP="00254C1C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</w:rPr>
              <w:t>1</w:t>
            </w:r>
          </w:p>
        </w:tc>
        <w:tc>
          <w:tcPr>
            <w:tcW w:w="1642" w:type="dxa"/>
          </w:tcPr>
          <w:p w14:paraId="6498AB7C" w14:textId="77777777" w:rsidR="00CD43F1" w:rsidRPr="004C1142" w:rsidRDefault="00CD43F1" w:rsidP="00254C1C">
            <w:pPr>
              <w:spacing w:after="0"/>
              <w:rPr>
                <w:rFonts w:cstheme="minorHAnsi"/>
              </w:rPr>
            </w:pPr>
            <w:r w:rsidRPr="004C1142">
              <w:rPr>
                <w:rFonts w:cstheme="minorHAnsi"/>
              </w:rPr>
              <w:t xml:space="preserve">Stypendium stażowe </w:t>
            </w:r>
          </w:p>
        </w:tc>
        <w:tc>
          <w:tcPr>
            <w:tcW w:w="1701" w:type="dxa"/>
          </w:tcPr>
          <w:p w14:paraId="4FF7A15E" w14:textId="166E591D" w:rsidR="00CD43F1" w:rsidRPr="004C1142" w:rsidRDefault="006B1686" w:rsidP="00254C1C">
            <w:pPr>
              <w:spacing w:after="0"/>
              <w:rPr>
                <w:rFonts w:cstheme="minorHAnsi"/>
              </w:rPr>
            </w:pPr>
            <w:r w:rsidRPr="004C1142">
              <w:rPr>
                <w:rFonts w:cstheme="minorHAnsi"/>
              </w:rPr>
              <w:t>1 649,34</w:t>
            </w:r>
            <w:r w:rsidR="00A51F10">
              <w:rPr>
                <w:rFonts w:cstheme="minorHAnsi"/>
              </w:rPr>
              <w:t xml:space="preserve"> zł </w:t>
            </w:r>
            <w:r w:rsidR="001D63E9">
              <w:rPr>
                <w:rStyle w:val="Odwoanieprzypisudolnego"/>
                <w:rFonts w:cstheme="minorHAnsi"/>
              </w:rPr>
              <w:footnoteReference w:id="1"/>
            </w:r>
            <w:r w:rsidR="00CD43F1" w:rsidRPr="004C1142">
              <w:rPr>
                <w:rFonts w:cstheme="minorHAnsi"/>
              </w:rPr>
              <w:t>/</w:t>
            </w:r>
            <w:r w:rsidR="00A51F10">
              <w:rPr>
                <w:rFonts w:cstheme="minorHAnsi"/>
              </w:rPr>
              <w:t xml:space="preserve"> </w:t>
            </w:r>
            <w:r w:rsidR="00CD43F1" w:rsidRPr="004C1142">
              <w:rPr>
                <w:rFonts w:cstheme="minorHAnsi"/>
              </w:rPr>
              <w:t>osobomiesiąc – co najmniej 160 godzin stażu</w:t>
            </w:r>
          </w:p>
        </w:tc>
        <w:tc>
          <w:tcPr>
            <w:tcW w:w="5812" w:type="dxa"/>
          </w:tcPr>
          <w:p w14:paraId="69F66D82" w14:textId="77777777" w:rsidR="009D5A03" w:rsidRPr="004C1142" w:rsidRDefault="000851EC" w:rsidP="005C187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4C1142">
              <w:rPr>
                <w:rFonts w:cstheme="minorHAnsi"/>
              </w:rPr>
              <w:t>W okresie odbywania stażu stażyście przysługuje stypendium stażowe, które</w:t>
            </w:r>
            <w:r w:rsidR="009D5A03" w:rsidRPr="004C1142">
              <w:rPr>
                <w:rFonts w:cstheme="minorHAnsi"/>
              </w:rPr>
              <w:t xml:space="preserve"> </w:t>
            </w:r>
            <w:r w:rsidRPr="004C1142">
              <w:rPr>
                <w:rFonts w:cstheme="minorHAnsi"/>
              </w:rPr>
              <w:t>miesięcznie wynosi 80% wartości netto minimalnego wynagrodzenia za pracę o</w:t>
            </w:r>
          </w:p>
          <w:p w14:paraId="3C76CDC1" w14:textId="6FEC6C66" w:rsidR="00423843" w:rsidRPr="004C1142" w:rsidRDefault="000851EC" w:rsidP="005C187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4C1142">
              <w:rPr>
                <w:rFonts w:cstheme="minorHAnsi"/>
              </w:rPr>
              <w:t>którym</w:t>
            </w:r>
            <w:r w:rsidR="009D5A03" w:rsidRPr="004C1142">
              <w:rPr>
                <w:rFonts w:cstheme="minorHAnsi"/>
              </w:rPr>
              <w:t xml:space="preserve"> mowa w przepisach o minimalnym </w:t>
            </w:r>
            <w:r w:rsidRPr="004C1142">
              <w:rPr>
                <w:rFonts w:cstheme="minorHAnsi"/>
              </w:rPr>
              <w:t>wynagrodzeniu za pracę,</w:t>
            </w:r>
            <w:r w:rsidR="009D5A03" w:rsidRPr="004C1142">
              <w:rPr>
                <w:rFonts w:cstheme="minorHAnsi"/>
              </w:rPr>
              <w:t xml:space="preserve"> </w:t>
            </w:r>
            <w:r w:rsidRPr="004C1142">
              <w:rPr>
                <w:rFonts w:cstheme="minorHAnsi"/>
              </w:rPr>
              <w:t>obowiązującego w roku złożenia przez beneficjenta wniosku o dofinansowanie w</w:t>
            </w:r>
            <w:r w:rsidR="005C187F">
              <w:rPr>
                <w:rFonts w:cstheme="minorHAnsi"/>
              </w:rPr>
              <w:t xml:space="preserve"> </w:t>
            </w:r>
            <w:r w:rsidRPr="004C1142">
              <w:rPr>
                <w:rFonts w:cstheme="minorHAnsi"/>
              </w:rPr>
              <w:t xml:space="preserve">odpowiedzi na ogłoszony konkurs. </w:t>
            </w:r>
          </w:p>
          <w:p w14:paraId="34C035F6" w14:textId="77777777" w:rsidR="00423843" w:rsidRPr="004C1142" w:rsidRDefault="00CD43F1" w:rsidP="005C187F">
            <w:pPr>
              <w:autoSpaceDE w:val="0"/>
              <w:autoSpaceDN w:val="0"/>
              <w:adjustRightInd w:val="0"/>
              <w:spacing w:after="0"/>
              <w:rPr>
                <w:rFonts w:cs="Arial-BoldMT"/>
                <w:b/>
                <w:bCs/>
              </w:rPr>
            </w:pPr>
            <w:r w:rsidRPr="004C1142">
              <w:rPr>
                <w:rFonts w:cstheme="minorHAnsi"/>
                <w:lang w:eastAsia="pl-PL"/>
              </w:rPr>
              <w:t xml:space="preserve">Kwalifikowalne są ponadto składki na ubezpieczenie </w:t>
            </w:r>
            <w:r w:rsidRPr="004C1142">
              <w:rPr>
                <w:rFonts w:cstheme="minorHAnsi"/>
                <w:color w:val="000000" w:themeColor="text1"/>
                <w:lang w:eastAsia="pl-PL"/>
              </w:rPr>
              <w:t>społeczne</w:t>
            </w:r>
            <w:r w:rsidR="0049405B" w:rsidRPr="004C1142">
              <w:rPr>
                <w:rFonts w:cstheme="minorHAnsi"/>
                <w:color w:val="000000" w:themeColor="text1"/>
                <w:lang w:eastAsia="pl-PL"/>
              </w:rPr>
              <w:t xml:space="preserve"> </w:t>
            </w:r>
            <w:r w:rsidRPr="004C1142">
              <w:rPr>
                <w:rFonts w:cstheme="minorHAnsi"/>
                <w:color w:val="000000" w:themeColor="text1"/>
                <w:lang w:eastAsia="pl-PL"/>
              </w:rPr>
              <w:t xml:space="preserve">w wysokości: emerytalna- </w:t>
            </w:r>
            <w:r w:rsidR="0049405B" w:rsidRPr="004C1142">
              <w:rPr>
                <w:rFonts w:ascii="Calibri" w:hAnsi="Calibri" w:cs="Calibri"/>
                <w:color w:val="000000" w:themeColor="text1"/>
              </w:rPr>
              <w:t>321,95</w:t>
            </w:r>
            <w:r w:rsidR="002B2A37" w:rsidRPr="004C1142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4C1142">
              <w:rPr>
                <w:rFonts w:cstheme="minorHAnsi"/>
                <w:color w:val="000000" w:themeColor="text1"/>
                <w:lang w:eastAsia="pl-PL"/>
              </w:rPr>
              <w:t xml:space="preserve">zł, rentowa- </w:t>
            </w:r>
            <w:r w:rsidR="0049405B" w:rsidRPr="004C1142">
              <w:rPr>
                <w:rFonts w:ascii="Calibri" w:hAnsi="Calibri" w:cs="Calibri"/>
                <w:color w:val="000000" w:themeColor="text1"/>
              </w:rPr>
              <w:t>131,95</w:t>
            </w:r>
            <w:r w:rsidR="003A6FD8" w:rsidRPr="004C1142">
              <w:rPr>
                <w:rFonts w:ascii="Calibri" w:hAnsi="Calibri" w:cs="Calibri"/>
                <w:color w:val="000000" w:themeColor="text1"/>
              </w:rPr>
              <w:t xml:space="preserve"> zł</w:t>
            </w:r>
            <w:r w:rsidR="003A6FD8" w:rsidRPr="004C1142">
              <w:rPr>
                <w:rFonts w:cstheme="minorHAnsi"/>
                <w:color w:val="000000" w:themeColor="text1"/>
                <w:lang w:eastAsia="pl-PL"/>
              </w:rPr>
              <w:t xml:space="preserve">, </w:t>
            </w:r>
            <w:r w:rsidRPr="004C1142">
              <w:rPr>
                <w:rFonts w:cstheme="minorHAnsi"/>
                <w:color w:val="000000" w:themeColor="text1"/>
                <w:lang w:eastAsia="pl-PL"/>
              </w:rPr>
              <w:t>wypadkowa</w:t>
            </w:r>
            <w:r w:rsidRPr="004C1142">
              <w:rPr>
                <w:rFonts w:cstheme="minorHAnsi"/>
                <w:lang w:eastAsia="pl-PL"/>
              </w:rPr>
              <w:t xml:space="preserve">- zgodna ze stawką obowiązującą dla podmiotu </w:t>
            </w:r>
            <w:r w:rsidR="0049405B" w:rsidRPr="004C1142">
              <w:rPr>
                <w:rFonts w:cstheme="minorHAnsi"/>
                <w:lang w:eastAsia="pl-PL"/>
              </w:rPr>
              <w:t>kierującego na staż</w:t>
            </w:r>
            <w:r w:rsidRPr="004C1142">
              <w:rPr>
                <w:rFonts w:cstheme="minorHAnsi"/>
                <w:lang w:eastAsia="pl-PL"/>
              </w:rPr>
              <w:t>.</w:t>
            </w:r>
            <w:r w:rsidR="00D66A73" w:rsidRPr="004C1142">
              <w:rPr>
                <w:rFonts w:cstheme="minorHAnsi"/>
                <w:lang w:eastAsia="pl-PL"/>
              </w:rPr>
              <w:t xml:space="preserve"> </w:t>
            </w:r>
            <w:r w:rsidR="00D66A73" w:rsidRPr="004C1142">
              <w:rPr>
                <w:rFonts w:cstheme="minorHAnsi"/>
                <w:b/>
                <w:lang w:eastAsia="pl-PL"/>
              </w:rPr>
              <w:t>Składki na ubezpieczenie społeczne powinny znaleźć się w odrębnej pozycji budżetowej, a odpowiednia kalkulacja w uzasadnieniu do tej pozycji.</w:t>
            </w:r>
          </w:p>
        </w:tc>
      </w:tr>
      <w:tr w:rsidR="00CD43F1" w:rsidRPr="00254C1C" w14:paraId="680D002D" w14:textId="77777777" w:rsidTr="00FF07CE">
        <w:tc>
          <w:tcPr>
            <w:tcW w:w="456" w:type="dxa"/>
          </w:tcPr>
          <w:p w14:paraId="3A4A7B93" w14:textId="77777777" w:rsidR="00CD43F1" w:rsidRPr="00DE54EC" w:rsidRDefault="00CD43F1" w:rsidP="00254C1C">
            <w:pPr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2</w:t>
            </w:r>
          </w:p>
        </w:tc>
        <w:tc>
          <w:tcPr>
            <w:tcW w:w="1642" w:type="dxa"/>
          </w:tcPr>
          <w:p w14:paraId="56737E08" w14:textId="77777777" w:rsidR="00CD43F1" w:rsidRPr="00DE54EC" w:rsidRDefault="00CD43F1" w:rsidP="00254C1C">
            <w:pPr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Stypendium szkoleniowe</w:t>
            </w:r>
          </w:p>
        </w:tc>
        <w:tc>
          <w:tcPr>
            <w:tcW w:w="1701" w:type="dxa"/>
          </w:tcPr>
          <w:p w14:paraId="27B6EBA0" w14:textId="225D606A" w:rsidR="00CD43F1" w:rsidRPr="00DE54EC" w:rsidRDefault="00BC536D" w:rsidP="00BC536D">
            <w:pPr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1</w:t>
            </w:r>
            <w:r w:rsidR="00A51F10">
              <w:rPr>
                <w:rFonts w:cstheme="minorHAnsi"/>
              </w:rPr>
              <w:t xml:space="preserve"> </w:t>
            </w:r>
            <w:r w:rsidRPr="00DE54EC">
              <w:rPr>
                <w:rFonts w:cstheme="minorHAnsi"/>
              </w:rPr>
              <w:t>4</w:t>
            </w:r>
            <w:r w:rsidR="0079219E" w:rsidRPr="00DE54EC">
              <w:rPr>
                <w:rFonts w:cstheme="minorHAnsi"/>
              </w:rPr>
              <w:t>89</w:t>
            </w:r>
            <w:r w:rsidR="00CD43F1" w:rsidRPr="00DE54EC">
              <w:rPr>
                <w:rFonts w:cstheme="minorHAnsi"/>
              </w:rPr>
              <w:t>,</w:t>
            </w:r>
            <w:r w:rsidRPr="00DE54EC">
              <w:rPr>
                <w:rFonts w:cstheme="minorHAnsi"/>
              </w:rPr>
              <w:t>00</w:t>
            </w:r>
            <w:r w:rsidR="00CD43F1" w:rsidRPr="00DE54EC">
              <w:rPr>
                <w:rFonts w:cstheme="minorHAnsi"/>
              </w:rPr>
              <w:t xml:space="preserve"> zł</w:t>
            </w:r>
            <w:r w:rsidR="001D63E9">
              <w:rPr>
                <w:rFonts w:cstheme="minorHAnsi"/>
              </w:rPr>
              <w:t xml:space="preserve"> </w:t>
            </w:r>
            <w:r w:rsidR="001D63E9">
              <w:rPr>
                <w:rStyle w:val="Odwoanieprzypisudolnego"/>
                <w:rFonts w:cstheme="minorHAnsi"/>
              </w:rPr>
              <w:footnoteReference w:id="2"/>
            </w:r>
            <w:r w:rsidR="00CD43F1" w:rsidRPr="00DE54EC">
              <w:rPr>
                <w:rFonts w:cstheme="minorHAnsi"/>
              </w:rPr>
              <w:t>/</w:t>
            </w:r>
            <w:r w:rsidR="00A51F10">
              <w:rPr>
                <w:rFonts w:cstheme="minorHAnsi"/>
              </w:rPr>
              <w:t xml:space="preserve"> </w:t>
            </w:r>
            <w:r w:rsidR="00CD43F1" w:rsidRPr="00DE54EC">
              <w:rPr>
                <w:rFonts w:cstheme="minorHAnsi"/>
              </w:rPr>
              <w:t xml:space="preserve">osobomiesiąc – co najmniej 150 </w:t>
            </w:r>
            <w:r w:rsidR="00927DE0" w:rsidRPr="00DE54EC">
              <w:rPr>
                <w:rFonts w:cstheme="minorHAnsi"/>
              </w:rPr>
              <w:t xml:space="preserve">zegarowych </w:t>
            </w:r>
            <w:r w:rsidR="00CD43F1" w:rsidRPr="00DE54EC">
              <w:rPr>
                <w:rFonts w:cstheme="minorHAnsi"/>
              </w:rPr>
              <w:t>godzin szkolenia</w:t>
            </w:r>
          </w:p>
        </w:tc>
        <w:tc>
          <w:tcPr>
            <w:tcW w:w="5812" w:type="dxa"/>
          </w:tcPr>
          <w:p w14:paraId="2F7A1020" w14:textId="77777777" w:rsidR="00BC536D" w:rsidRPr="00DE54EC" w:rsidRDefault="000851EC" w:rsidP="005C187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Osobom uczestniczącym w szkoleniach przysługuje stypendium szkoleniowe,</w:t>
            </w:r>
            <w:r w:rsidR="003F46B1" w:rsidRPr="00DE54EC">
              <w:rPr>
                <w:rFonts w:cstheme="minorHAnsi"/>
              </w:rPr>
              <w:t xml:space="preserve"> </w:t>
            </w:r>
            <w:r w:rsidRPr="00DE54EC">
              <w:rPr>
                <w:rFonts w:cstheme="minorHAnsi"/>
              </w:rPr>
              <w:t>które miesięcznie wynosi 120% zasiłku, o którym mowa w art. 72 ust. 1 pkt 1</w:t>
            </w:r>
          </w:p>
          <w:p w14:paraId="78C95B89" w14:textId="77777777" w:rsidR="00BC536D" w:rsidRPr="00DE54EC" w:rsidRDefault="000851EC" w:rsidP="005C187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ustawy o promocji zatrudnienia i instytucjach rynku pracy, jeżeli miesięczna</w:t>
            </w:r>
            <w:r w:rsidR="003F46B1" w:rsidRPr="00DE54EC">
              <w:rPr>
                <w:rFonts w:cstheme="minorHAnsi"/>
              </w:rPr>
              <w:t xml:space="preserve"> </w:t>
            </w:r>
            <w:r w:rsidRPr="00DE54EC">
              <w:rPr>
                <w:rFonts w:cstheme="minorHAnsi"/>
              </w:rPr>
              <w:t>liczba godzin szkolenia wynosi co najmniej 150 godzin zegarowych; w przypadku</w:t>
            </w:r>
          </w:p>
          <w:p w14:paraId="5FC994A6" w14:textId="77777777" w:rsidR="003F46B1" w:rsidRPr="00DE54EC" w:rsidRDefault="000851EC" w:rsidP="005C187F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niższej miesięcznej liczby godzin szkolenia, wysokość stypendium szkoleniowego</w:t>
            </w:r>
            <w:r w:rsidR="003F46B1" w:rsidRPr="00DE54EC">
              <w:rPr>
                <w:rFonts w:cstheme="minorHAnsi"/>
              </w:rPr>
              <w:t xml:space="preserve"> </w:t>
            </w:r>
            <w:r w:rsidRPr="00DE54EC">
              <w:rPr>
                <w:rFonts w:cstheme="minorHAnsi"/>
              </w:rPr>
              <w:t xml:space="preserve">ustala się proporcjonalnie, </w:t>
            </w:r>
          </w:p>
          <w:p w14:paraId="53588423" w14:textId="77777777" w:rsidR="00BC536D" w:rsidRPr="00DE54EC" w:rsidRDefault="000851EC" w:rsidP="005C187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z tym, że stypendium to nie może być niższe niż 20%</w:t>
            </w:r>
          </w:p>
          <w:p w14:paraId="05D218C5" w14:textId="3DA650A3" w:rsidR="00423843" w:rsidRPr="00DE54EC" w:rsidRDefault="000851EC" w:rsidP="005C187F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DE54EC">
              <w:rPr>
                <w:rFonts w:cstheme="minorHAnsi"/>
              </w:rPr>
              <w:t>zasiłku, o którym mowa w art. 72 ust. 1 pkt 1 ustawy o promocji zatrudnienia i</w:t>
            </w:r>
            <w:r w:rsidR="003F46B1" w:rsidRPr="00DE54EC">
              <w:rPr>
                <w:rFonts w:cstheme="minorHAnsi"/>
              </w:rPr>
              <w:t xml:space="preserve"> </w:t>
            </w:r>
            <w:r w:rsidRPr="00DE54EC">
              <w:rPr>
                <w:rFonts w:cstheme="minorHAnsi"/>
              </w:rPr>
              <w:t>instytucjach rynku pracy</w:t>
            </w:r>
            <w:r w:rsidR="00BC536D" w:rsidRPr="00DE54EC">
              <w:rPr>
                <w:rFonts w:cs="ArialMT"/>
              </w:rPr>
              <w:t>.</w:t>
            </w:r>
            <w:r w:rsidR="002B2A37" w:rsidRPr="00DE54EC">
              <w:rPr>
                <w:rFonts w:cs="ArialMT"/>
              </w:rPr>
              <w:t xml:space="preserve"> </w:t>
            </w:r>
            <w:r w:rsidR="0049405B" w:rsidRPr="00DE54EC">
              <w:rPr>
                <w:rFonts w:cstheme="minorHAnsi"/>
                <w:lang w:eastAsia="pl-PL"/>
              </w:rPr>
              <w:t>Kwalifikowalne są ponadto składki na ubezpieczenie społeczne w wysokości: emerytalna-</w:t>
            </w:r>
            <w:r w:rsidR="0049405B" w:rsidRPr="00DE54EC">
              <w:t>2</w:t>
            </w:r>
            <w:r w:rsidR="00DE54EC" w:rsidRPr="00DE54EC">
              <w:t>90</w:t>
            </w:r>
            <w:r w:rsidR="0049405B" w:rsidRPr="00DE54EC">
              <w:t>,</w:t>
            </w:r>
            <w:r w:rsidR="00DE54EC" w:rsidRPr="00DE54EC">
              <w:t>65</w:t>
            </w:r>
            <w:r w:rsidR="0049405B" w:rsidRPr="00DE54EC">
              <w:t xml:space="preserve"> </w:t>
            </w:r>
            <w:r w:rsidR="0049405B" w:rsidRPr="00DE54EC">
              <w:rPr>
                <w:rFonts w:cstheme="minorHAnsi"/>
                <w:lang w:eastAsia="pl-PL"/>
              </w:rPr>
              <w:t xml:space="preserve"> zł, rentowa-</w:t>
            </w:r>
            <w:r w:rsidR="0049405B" w:rsidRPr="00DE54EC">
              <w:rPr>
                <w:bCs/>
              </w:rPr>
              <w:t>11</w:t>
            </w:r>
            <w:r w:rsidR="00DE54EC" w:rsidRPr="00DE54EC">
              <w:rPr>
                <w:bCs/>
              </w:rPr>
              <w:t>9</w:t>
            </w:r>
            <w:r w:rsidR="0049405B" w:rsidRPr="00DE54EC">
              <w:rPr>
                <w:bCs/>
              </w:rPr>
              <w:t>,</w:t>
            </w:r>
            <w:r w:rsidR="00DE54EC" w:rsidRPr="00DE54EC">
              <w:rPr>
                <w:bCs/>
              </w:rPr>
              <w:t>12</w:t>
            </w:r>
            <w:r w:rsidR="003A6FD8" w:rsidRPr="00DE54EC">
              <w:rPr>
                <w:rFonts w:cstheme="minorHAnsi"/>
                <w:lang w:eastAsia="pl-PL"/>
              </w:rPr>
              <w:t xml:space="preserve"> zł,</w:t>
            </w:r>
            <w:r w:rsidR="0049405B" w:rsidRPr="00DE54EC">
              <w:rPr>
                <w:rFonts w:cstheme="minorHAnsi"/>
                <w:lang w:eastAsia="pl-PL"/>
              </w:rPr>
              <w:t xml:space="preserve"> wypadkowa- zgodna ze stawką obowiązującą dla podmiotu kierującego na staż.</w:t>
            </w:r>
            <w:r w:rsidR="00D66A73" w:rsidRPr="00DE54EC">
              <w:rPr>
                <w:rFonts w:cstheme="minorHAnsi"/>
                <w:lang w:eastAsia="pl-PL"/>
              </w:rPr>
              <w:t xml:space="preserve"> </w:t>
            </w:r>
            <w:r w:rsidR="00D66A73" w:rsidRPr="00DE54EC">
              <w:rPr>
                <w:rFonts w:cstheme="minorHAnsi"/>
                <w:b/>
                <w:lang w:eastAsia="pl-PL"/>
              </w:rPr>
              <w:t>Składki na ubezpieczenie społeczne powinny znaleźć się w odrębnej pozycji budżetowej, a odpowiednia kalkulacja w uzasadnieniu do tej pozycji.</w:t>
            </w:r>
          </w:p>
        </w:tc>
      </w:tr>
      <w:tr w:rsidR="00CD43F1" w:rsidRPr="00254C1C" w14:paraId="27B77B6D" w14:textId="77777777" w:rsidTr="00FA5BDF">
        <w:tc>
          <w:tcPr>
            <w:tcW w:w="9611" w:type="dxa"/>
            <w:gridSpan w:val="4"/>
            <w:shd w:val="clear" w:color="auto" w:fill="F2F2F2" w:themeFill="background1" w:themeFillShade="F2"/>
          </w:tcPr>
          <w:p w14:paraId="55CCAA8B" w14:textId="77777777" w:rsidR="00CD43F1" w:rsidRPr="002B235F" w:rsidRDefault="00CD43F1" w:rsidP="005C187F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  <w:b/>
                <w:noProof/>
              </w:rPr>
              <w:t>Instrumenty aktywizacji społecznej</w:t>
            </w:r>
          </w:p>
        </w:tc>
      </w:tr>
      <w:tr w:rsidR="00CD43F1" w:rsidRPr="00254C1C" w14:paraId="6440CAD9" w14:textId="77777777" w:rsidTr="00FF07CE">
        <w:tc>
          <w:tcPr>
            <w:tcW w:w="456" w:type="dxa"/>
          </w:tcPr>
          <w:p w14:paraId="4506D1C6" w14:textId="77777777" w:rsidR="00CD43F1" w:rsidRPr="002B235F" w:rsidRDefault="00CD43F1" w:rsidP="00254C1C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</w:rPr>
              <w:t>1</w:t>
            </w:r>
          </w:p>
        </w:tc>
        <w:tc>
          <w:tcPr>
            <w:tcW w:w="1642" w:type="dxa"/>
          </w:tcPr>
          <w:p w14:paraId="31AA7637" w14:textId="77777777" w:rsidR="00CD43F1" w:rsidRPr="002B235F" w:rsidRDefault="00CD43F1" w:rsidP="00254C1C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</w:rPr>
              <w:t>Zasiłki</w:t>
            </w:r>
          </w:p>
        </w:tc>
        <w:tc>
          <w:tcPr>
            <w:tcW w:w="1701" w:type="dxa"/>
          </w:tcPr>
          <w:p w14:paraId="7385FB49" w14:textId="77777777" w:rsidR="00CD43F1" w:rsidRPr="002B235F" w:rsidRDefault="00CD43F1" w:rsidP="00254C1C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</w:rPr>
              <w:t>-</w:t>
            </w:r>
          </w:p>
        </w:tc>
        <w:tc>
          <w:tcPr>
            <w:tcW w:w="5812" w:type="dxa"/>
          </w:tcPr>
          <w:p w14:paraId="76062184" w14:textId="77777777" w:rsidR="00CD43F1" w:rsidRPr="002B235F" w:rsidRDefault="00CD43F1" w:rsidP="005C187F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</w:rPr>
              <w:t>Wypłacane zgodnie z ustawą o pomocy społecznej oraz powiązane z celem i zakresem projektu.</w:t>
            </w:r>
            <w:r w:rsidR="003A6FD8">
              <w:rPr>
                <w:rFonts w:cstheme="minorHAnsi"/>
              </w:rPr>
              <w:t xml:space="preserve"> Jeśli są ujęte w budżecie stanowią </w:t>
            </w:r>
            <w:r w:rsidR="003A6FD8" w:rsidRPr="00B54157">
              <w:rPr>
                <w:rFonts w:cstheme="minorHAnsi"/>
              </w:rPr>
              <w:t>wkład własny.</w:t>
            </w:r>
            <w:r w:rsidR="003A6FD8">
              <w:rPr>
                <w:rFonts w:cstheme="minorHAnsi"/>
              </w:rPr>
              <w:t xml:space="preserve"> </w:t>
            </w:r>
          </w:p>
        </w:tc>
      </w:tr>
    </w:tbl>
    <w:p w14:paraId="24B2D774" w14:textId="0209C6B4" w:rsidR="007E0D58" w:rsidRDefault="007E0D58" w:rsidP="00254C1C">
      <w:pPr>
        <w:rPr>
          <w:rFonts w:cstheme="minorHAnsi"/>
          <w:sz w:val="24"/>
          <w:szCs w:val="24"/>
        </w:rPr>
      </w:pPr>
    </w:p>
    <w:p w14:paraId="1B84D35B" w14:textId="77777777" w:rsidR="0038667F" w:rsidRPr="00254C1C" w:rsidRDefault="0038667F" w:rsidP="00254C1C">
      <w:pPr>
        <w:rPr>
          <w:rFonts w:cstheme="minorHAnsi"/>
          <w:sz w:val="24"/>
          <w:szCs w:val="24"/>
        </w:rPr>
      </w:pPr>
    </w:p>
    <w:p w14:paraId="7C0030D6" w14:textId="77777777" w:rsidR="003F48CD" w:rsidRPr="003A6FD8" w:rsidRDefault="003F48CD" w:rsidP="00254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cstheme="minorHAnsi"/>
          <w:b/>
          <w:szCs w:val="24"/>
        </w:rPr>
      </w:pPr>
      <w:r w:rsidRPr="003A6FD8">
        <w:rPr>
          <w:rFonts w:cstheme="minorHAnsi"/>
          <w:b/>
          <w:szCs w:val="24"/>
        </w:rPr>
        <w:t>Zalecenia odnośnie</w:t>
      </w:r>
      <w:r w:rsidR="00024D90" w:rsidRPr="003A6FD8">
        <w:rPr>
          <w:rFonts w:cstheme="minorHAnsi"/>
          <w:b/>
          <w:szCs w:val="24"/>
        </w:rPr>
        <w:t xml:space="preserve"> do</w:t>
      </w:r>
      <w:r w:rsidRPr="003A6FD8">
        <w:rPr>
          <w:rFonts w:cstheme="minorHAnsi"/>
          <w:b/>
          <w:szCs w:val="24"/>
        </w:rPr>
        <w:t xml:space="preserve"> zasad konstruowania budżetu szczegółowego projektu.</w:t>
      </w:r>
    </w:p>
    <w:p w14:paraId="50CB47D5" w14:textId="51AD01F4" w:rsidR="0038667F" w:rsidRPr="0038667F" w:rsidRDefault="003F48CD" w:rsidP="00CB0AEA">
      <w:pPr>
        <w:spacing w:before="100" w:beforeAutospacing="1" w:after="100" w:afterAutospacing="1" w:line="360" w:lineRule="auto"/>
        <w:rPr>
          <w:rFonts w:cs="Calibri"/>
          <w:b/>
        </w:rPr>
      </w:pPr>
      <w:r w:rsidRPr="002B235F">
        <w:rPr>
          <w:rFonts w:cstheme="minorHAnsi"/>
          <w:b/>
        </w:rPr>
        <w:t xml:space="preserve">IZ RPO WK-P zaleca, aby wydatki </w:t>
      </w:r>
      <w:r w:rsidR="005A7498" w:rsidRPr="002B235F">
        <w:rPr>
          <w:rFonts w:cstheme="minorHAnsi"/>
          <w:b/>
        </w:rPr>
        <w:t xml:space="preserve">w budżecie szczegółowym ujmować w tożsamych kategoriach zbiorczych, tzn. jako osobnych pozycji budżetowych </w:t>
      </w:r>
      <w:r w:rsidR="005A7498" w:rsidRPr="00656483">
        <w:rPr>
          <w:rFonts w:cstheme="minorHAnsi"/>
          <w:b/>
        </w:rPr>
        <w:t>nie ujmować wydatków, które można uwzględnić w budżecie w ramach wydatku o charakterze zbiorczym.</w:t>
      </w:r>
      <w:r w:rsidR="005A7498" w:rsidRPr="00656483">
        <w:rPr>
          <w:rFonts w:cstheme="minorHAnsi"/>
        </w:rPr>
        <w:t xml:space="preserve"> </w:t>
      </w:r>
      <w:r w:rsidR="00CB0AEA" w:rsidRPr="004C1142">
        <w:rPr>
          <w:rFonts w:cs="Calibri"/>
          <w:b/>
        </w:rPr>
        <w:t>Dotyczy to w szczególności kosztów związanych z zakupem mebli, sprzętu, materiałów na potrzeby realizacji zajęć itp. (niestanowiących środków trwałych o wartości powyżej 10 000 zł netto i cross-</w:t>
      </w:r>
      <w:proofErr w:type="spellStart"/>
      <w:r w:rsidR="00CB0AEA" w:rsidRPr="004C1142">
        <w:rPr>
          <w:rFonts w:cs="Calibri"/>
          <w:b/>
        </w:rPr>
        <w:t>financingu</w:t>
      </w:r>
      <w:proofErr w:type="spellEnd"/>
      <w:r w:rsidR="00CB0AEA" w:rsidRPr="004C1142">
        <w:rPr>
          <w:rFonts w:cs="Calibri"/>
          <w:b/>
        </w:rPr>
        <w:t>), np.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551"/>
        <w:gridCol w:w="891"/>
        <w:gridCol w:w="760"/>
        <w:gridCol w:w="1217"/>
        <w:gridCol w:w="1166"/>
      </w:tblGrid>
      <w:tr w:rsidR="00CB0AEA" w:rsidRPr="004C1142" w14:paraId="707878A6" w14:textId="77777777" w:rsidTr="005C187F">
        <w:tc>
          <w:tcPr>
            <w:tcW w:w="480" w:type="dxa"/>
            <w:shd w:val="clear" w:color="auto" w:fill="D9D9D9"/>
          </w:tcPr>
          <w:p w14:paraId="56C5D287" w14:textId="77777777" w:rsidR="00CB0AEA" w:rsidRPr="004C1142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</w:rPr>
            </w:pPr>
            <w:r w:rsidRPr="004C1142">
              <w:rPr>
                <w:rFonts w:cs="Calibri"/>
              </w:rPr>
              <w:t>Lp.</w:t>
            </w:r>
          </w:p>
        </w:tc>
        <w:tc>
          <w:tcPr>
            <w:tcW w:w="4592" w:type="dxa"/>
            <w:shd w:val="clear" w:color="auto" w:fill="D9D9D9"/>
          </w:tcPr>
          <w:p w14:paraId="7E2A6C24" w14:textId="77777777" w:rsidR="00CB0AEA" w:rsidRPr="004C1142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</w:rPr>
            </w:pPr>
            <w:r w:rsidRPr="004C1142">
              <w:rPr>
                <w:rFonts w:cs="Calibri"/>
              </w:rPr>
              <w:t>Nazwa pozycji budżetowej</w:t>
            </w:r>
          </w:p>
        </w:tc>
        <w:tc>
          <w:tcPr>
            <w:tcW w:w="838" w:type="dxa"/>
            <w:shd w:val="clear" w:color="auto" w:fill="D9D9D9"/>
          </w:tcPr>
          <w:p w14:paraId="3C839EE2" w14:textId="77777777" w:rsidR="00CB0AEA" w:rsidRPr="004C1142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</w:rPr>
            </w:pPr>
            <w:r w:rsidRPr="004C1142">
              <w:rPr>
                <w:rFonts w:cs="Calibri"/>
              </w:rPr>
              <w:t>j.m.</w:t>
            </w:r>
          </w:p>
        </w:tc>
        <w:tc>
          <w:tcPr>
            <w:tcW w:w="760" w:type="dxa"/>
            <w:shd w:val="clear" w:color="auto" w:fill="D9D9D9"/>
          </w:tcPr>
          <w:p w14:paraId="20731D0B" w14:textId="77777777" w:rsidR="00CB0AEA" w:rsidRPr="004C1142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</w:rPr>
            </w:pPr>
            <w:r w:rsidRPr="004C1142">
              <w:rPr>
                <w:rFonts w:cs="Calibri"/>
              </w:rPr>
              <w:t>Liczba</w:t>
            </w:r>
          </w:p>
        </w:tc>
        <w:tc>
          <w:tcPr>
            <w:tcW w:w="1225" w:type="dxa"/>
            <w:shd w:val="clear" w:color="auto" w:fill="D9D9D9"/>
          </w:tcPr>
          <w:p w14:paraId="7B2DF9C5" w14:textId="77777777" w:rsidR="00CB0AEA" w:rsidRPr="004C1142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</w:rPr>
            </w:pPr>
            <w:r w:rsidRPr="004C1142">
              <w:rPr>
                <w:rFonts w:cs="Calibri"/>
              </w:rPr>
              <w:t>Cena jedn.</w:t>
            </w:r>
          </w:p>
        </w:tc>
        <w:tc>
          <w:tcPr>
            <w:tcW w:w="1170" w:type="dxa"/>
            <w:shd w:val="clear" w:color="auto" w:fill="D9D9D9"/>
          </w:tcPr>
          <w:p w14:paraId="2DD40569" w14:textId="77777777" w:rsidR="00CB0AEA" w:rsidRPr="004C1142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</w:rPr>
            </w:pPr>
            <w:r w:rsidRPr="004C1142">
              <w:rPr>
                <w:rFonts w:cs="Calibri"/>
              </w:rPr>
              <w:t>Łącznie</w:t>
            </w:r>
          </w:p>
        </w:tc>
      </w:tr>
      <w:tr w:rsidR="00CB0AEA" w:rsidRPr="00FD4A09" w14:paraId="7BE35FFF" w14:textId="77777777" w:rsidTr="005C187F">
        <w:tc>
          <w:tcPr>
            <w:tcW w:w="480" w:type="dxa"/>
          </w:tcPr>
          <w:p w14:paraId="6E747EE4" w14:textId="77777777" w:rsidR="00CB0AEA" w:rsidRPr="00FD4A09" w:rsidRDefault="00CB0AEA" w:rsidP="00BF214C">
            <w:pPr>
              <w:spacing w:before="100" w:beforeAutospacing="1" w:after="100" w:afterAutospacing="1" w:line="360" w:lineRule="auto"/>
              <w:rPr>
                <w:rFonts w:cs="Calibri"/>
                <w:sz w:val="24"/>
                <w:szCs w:val="24"/>
              </w:rPr>
            </w:pPr>
            <w:r w:rsidRPr="00FD4A09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4592" w:type="dxa"/>
          </w:tcPr>
          <w:p w14:paraId="0634F023" w14:textId="1D3FBF86" w:rsidR="00CB0AEA" w:rsidRPr="00FD4A09" w:rsidRDefault="005C187F" w:rsidP="00BF214C">
            <w:pPr>
              <w:spacing w:before="100" w:beforeAutospacing="1" w:after="100" w:afterAutospacing="1" w:line="360" w:lineRule="auto"/>
              <w:rPr>
                <w:rFonts w:cs="Calibri"/>
                <w:sz w:val="24"/>
                <w:szCs w:val="24"/>
              </w:rPr>
            </w:pPr>
            <w:r w:rsidRPr="0038667F">
              <w:rPr>
                <w:rFonts w:cstheme="minorHAnsi"/>
              </w:rPr>
              <w:t>Materiały szkoleniowe na warsztaty kompetencji interpersonalnych</w:t>
            </w:r>
          </w:p>
        </w:tc>
        <w:tc>
          <w:tcPr>
            <w:tcW w:w="838" w:type="dxa"/>
          </w:tcPr>
          <w:p w14:paraId="37ED1335" w14:textId="0A335433" w:rsidR="00CB0AEA" w:rsidRPr="00FD4A09" w:rsidRDefault="005C187F" w:rsidP="00BF214C">
            <w:pPr>
              <w:spacing w:before="100" w:beforeAutospacing="1" w:after="100" w:afterAutospacing="1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zestaw</w:t>
            </w:r>
          </w:p>
        </w:tc>
        <w:tc>
          <w:tcPr>
            <w:tcW w:w="760" w:type="dxa"/>
          </w:tcPr>
          <w:p w14:paraId="1D069D57" w14:textId="6E31DAF4" w:rsidR="00CB0AEA" w:rsidRPr="00FD4A09" w:rsidRDefault="005C187F" w:rsidP="00BF214C">
            <w:pPr>
              <w:spacing w:before="100" w:beforeAutospacing="1" w:after="100" w:afterAutospacing="1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14:paraId="21CED837" w14:textId="532BB53D" w:rsidR="00CB0AEA" w:rsidRPr="00FD4A09" w:rsidRDefault="005C187F" w:rsidP="00BF214C">
            <w:pPr>
              <w:spacing w:before="100" w:beforeAutospacing="1" w:after="100" w:afterAutospacing="1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50 zł</w:t>
            </w:r>
          </w:p>
        </w:tc>
        <w:tc>
          <w:tcPr>
            <w:tcW w:w="1170" w:type="dxa"/>
          </w:tcPr>
          <w:p w14:paraId="17498602" w14:textId="15B49C2A" w:rsidR="00CB0AEA" w:rsidRPr="00FD4A09" w:rsidRDefault="005C187F" w:rsidP="00BF214C">
            <w:pPr>
              <w:spacing w:before="100" w:beforeAutospacing="1" w:after="100" w:afterAutospacing="1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50 zł</w:t>
            </w:r>
          </w:p>
        </w:tc>
      </w:tr>
    </w:tbl>
    <w:p w14:paraId="7C949CAC" w14:textId="77777777" w:rsidR="007E0D58" w:rsidRPr="002B235F" w:rsidRDefault="007E0D58" w:rsidP="00254C1C">
      <w:pPr>
        <w:spacing w:after="0"/>
        <w:rPr>
          <w:rFonts w:cstheme="minorHAnsi"/>
        </w:rPr>
      </w:pPr>
    </w:p>
    <w:p w14:paraId="6C4B6F2A" w14:textId="77777777" w:rsidR="00E02C7C" w:rsidRPr="002B235F" w:rsidRDefault="00E02C7C" w:rsidP="00254C1C">
      <w:pPr>
        <w:spacing w:after="0"/>
        <w:rPr>
          <w:rFonts w:cstheme="minorHAnsi"/>
        </w:rPr>
      </w:pPr>
      <w:r w:rsidRPr="002B235F">
        <w:rPr>
          <w:rFonts w:cstheme="minorHAnsi"/>
          <w:b/>
        </w:rPr>
        <w:t>W uzasadnieniu kosztów specyficznych należy podać</w:t>
      </w:r>
      <w:r w:rsidR="00024D90" w:rsidRPr="002B235F">
        <w:rPr>
          <w:rFonts w:cstheme="minorHAnsi"/>
          <w:b/>
        </w:rPr>
        <w:t>,</w:t>
      </w:r>
      <w:r w:rsidRPr="002B235F">
        <w:rPr>
          <w:rFonts w:cstheme="minorHAnsi"/>
          <w:b/>
        </w:rPr>
        <w:t xml:space="preserve"> co wchodzi w skład zestawu. </w:t>
      </w:r>
      <w:r w:rsidR="006E29A5" w:rsidRPr="004C1142">
        <w:rPr>
          <w:rFonts w:cstheme="minorHAnsi"/>
          <w:bCs/>
        </w:rPr>
        <w:t>Co do zasady</w:t>
      </w:r>
      <w:r w:rsidR="006E29A5" w:rsidRPr="00CB0AEA">
        <w:rPr>
          <w:rFonts w:cstheme="minorHAnsi"/>
          <w:bCs/>
        </w:rPr>
        <w:t xml:space="preserve"> w</w:t>
      </w:r>
      <w:r w:rsidRPr="002B235F">
        <w:rPr>
          <w:rFonts w:cstheme="minorHAnsi"/>
        </w:rPr>
        <w:t xml:space="preserve"> przypadku z</w:t>
      </w:r>
      <w:r w:rsidR="003E370F" w:rsidRPr="002B235F">
        <w:rPr>
          <w:rFonts w:cstheme="minorHAnsi"/>
        </w:rPr>
        <w:t>estawów</w:t>
      </w:r>
      <w:r w:rsidR="006E29A5" w:rsidRPr="002B235F">
        <w:rPr>
          <w:rFonts w:cstheme="minorHAnsi"/>
        </w:rPr>
        <w:t xml:space="preserve"> o niewielkiej wartości</w:t>
      </w:r>
      <w:r w:rsidR="007E0D58" w:rsidRPr="002B235F">
        <w:rPr>
          <w:rFonts w:cstheme="minorHAnsi"/>
        </w:rPr>
        <w:t xml:space="preserve"> (obejmujących np. teczki, notesy, pendrive itd.) </w:t>
      </w:r>
      <w:r w:rsidR="00284CE0" w:rsidRPr="002B235F">
        <w:rPr>
          <w:rFonts w:cstheme="minorHAnsi"/>
        </w:rPr>
        <w:t xml:space="preserve"> </w:t>
      </w:r>
      <w:r w:rsidRPr="002B235F">
        <w:rPr>
          <w:rFonts w:cstheme="minorHAnsi"/>
        </w:rPr>
        <w:t xml:space="preserve">wystarczające jest wskazanie </w:t>
      </w:r>
      <w:r w:rsidR="003E370F" w:rsidRPr="002B235F">
        <w:rPr>
          <w:rFonts w:cstheme="minorHAnsi"/>
        </w:rPr>
        <w:t>element</w:t>
      </w:r>
      <w:r w:rsidR="00317BB1" w:rsidRPr="002B235F">
        <w:rPr>
          <w:rFonts w:cstheme="minorHAnsi"/>
        </w:rPr>
        <w:t>ów wchodzących w skład zestawu. W przypadku</w:t>
      </w:r>
      <w:r w:rsidR="006E29A5" w:rsidRPr="002B235F">
        <w:rPr>
          <w:rFonts w:cstheme="minorHAnsi"/>
        </w:rPr>
        <w:t xml:space="preserve"> </w:t>
      </w:r>
      <w:r w:rsidR="00EB032C" w:rsidRPr="002B235F">
        <w:rPr>
          <w:rFonts w:cstheme="minorHAnsi"/>
        </w:rPr>
        <w:t xml:space="preserve">zestawów </w:t>
      </w:r>
      <w:r w:rsidR="006E29A5" w:rsidRPr="002B235F">
        <w:rPr>
          <w:rFonts w:cstheme="minorHAnsi"/>
        </w:rPr>
        <w:t>o większej wartości i</w:t>
      </w:r>
      <w:r w:rsidR="00317BB1" w:rsidRPr="002B235F">
        <w:rPr>
          <w:rFonts w:cstheme="minorHAnsi"/>
        </w:rPr>
        <w:t xml:space="preserve"> zestawów, w których ocena racjonalności jedynie na podstawie określenia elementów składowych może być utrudniona, w uzasadnieniu należy wskazać również ceny jednostkowe</w:t>
      </w:r>
      <w:r w:rsidR="00882A59" w:rsidRPr="002B235F">
        <w:rPr>
          <w:rFonts w:cstheme="minorHAnsi"/>
        </w:rPr>
        <w:t>, np. gdy w skład zestawu wchodzą elementy, których ceny jednostkowe nie są publicznie dostępne</w:t>
      </w:r>
      <w:r w:rsidR="001378B1" w:rsidRPr="002B235F">
        <w:rPr>
          <w:rFonts w:cstheme="minorHAnsi"/>
        </w:rPr>
        <w:t xml:space="preserve"> lub</w:t>
      </w:r>
      <w:r w:rsidR="00882A59" w:rsidRPr="002B235F">
        <w:rPr>
          <w:rFonts w:cstheme="minorHAnsi"/>
        </w:rPr>
        <w:t xml:space="preserve"> </w:t>
      </w:r>
      <w:r w:rsidR="001378B1" w:rsidRPr="002B235F">
        <w:rPr>
          <w:rFonts w:cstheme="minorHAnsi"/>
        </w:rPr>
        <w:t>gdy</w:t>
      </w:r>
      <w:r w:rsidR="00882A59" w:rsidRPr="002B235F">
        <w:rPr>
          <w:rFonts w:cstheme="minorHAnsi"/>
        </w:rPr>
        <w:t xml:space="preserve"> istnieją wątpliwości co d</w:t>
      </w:r>
      <w:r w:rsidR="001378B1" w:rsidRPr="002B235F">
        <w:rPr>
          <w:rFonts w:cstheme="minorHAnsi"/>
        </w:rPr>
        <w:t>o sposobu kalkulacji wydatku.</w:t>
      </w:r>
      <w:r w:rsidR="000B430D" w:rsidRPr="002B235F">
        <w:rPr>
          <w:rFonts w:cstheme="minorHAnsi"/>
        </w:rPr>
        <w:t xml:space="preserve"> Przykład:</w:t>
      </w:r>
    </w:p>
    <w:p w14:paraId="24F481B1" w14:textId="77777777" w:rsidR="00657967" w:rsidRPr="002B235F" w:rsidRDefault="00657967" w:rsidP="00254C1C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3"/>
      </w:tblGrid>
      <w:tr w:rsidR="008974D1" w:rsidRPr="002B235F" w14:paraId="49D09FEF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53201846" w14:textId="297FEC45" w:rsidR="008974D1" w:rsidRPr="002B235F" w:rsidRDefault="008974D1" w:rsidP="00254C1C">
            <w:pPr>
              <w:spacing w:line="276" w:lineRule="auto"/>
              <w:rPr>
                <w:rFonts w:cstheme="minorHAnsi"/>
              </w:rPr>
            </w:pPr>
            <w:r w:rsidRPr="002B235F">
              <w:rPr>
                <w:rFonts w:cstheme="minorHAnsi"/>
              </w:rPr>
              <w:t>N</w:t>
            </w:r>
            <w:r w:rsidR="00CB0AEA">
              <w:rPr>
                <w:rFonts w:cstheme="minorHAnsi"/>
              </w:rPr>
              <w:t>ume</w:t>
            </w:r>
            <w:r w:rsidRPr="002B235F">
              <w:rPr>
                <w:rFonts w:cstheme="minorHAnsi"/>
              </w:rPr>
              <w:t>r poz</w:t>
            </w:r>
            <w:r w:rsidR="00CB0AEA">
              <w:rPr>
                <w:rFonts w:cstheme="minorHAnsi"/>
              </w:rPr>
              <w:t>ycji</w:t>
            </w:r>
            <w:r w:rsidR="001D07CE">
              <w:rPr>
                <w:rFonts w:cstheme="minorHAnsi"/>
              </w:rPr>
              <w:t xml:space="preserve"> </w:t>
            </w:r>
            <w:r w:rsidRPr="002B235F">
              <w:rPr>
                <w:rFonts w:cstheme="minorHAnsi"/>
              </w:rPr>
              <w:t>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11501F62" w14:textId="77777777" w:rsidR="008974D1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2 - Materiały szkoleniowe na warsztaty kompetencji interpersonalnych</w:t>
            </w:r>
          </w:p>
        </w:tc>
      </w:tr>
      <w:tr w:rsidR="008974D1" w:rsidRPr="002B235F" w14:paraId="0D0A695E" w14:textId="77777777" w:rsidTr="00E808A8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6394698A" w14:textId="77777777" w:rsidR="008974D1" w:rsidRPr="002B235F" w:rsidRDefault="008974D1" w:rsidP="00254C1C">
            <w:pPr>
              <w:spacing w:line="276" w:lineRule="auto"/>
              <w:rPr>
                <w:rFonts w:cstheme="minorHAnsi"/>
              </w:rPr>
            </w:pPr>
            <w:r w:rsidRPr="002B235F">
              <w:rPr>
                <w:rFonts w:cstheme="minorHAnsi"/>
              </w:rPr>
              <w:t>Uzasadnienie</w:t>
            </w:r>
          </w:p>
        </w:tc>
        <w:tc>
          <w:tcPr>
            <w:tcW w:w="7265" w:type="dxa"/>
          </w:tcPr>
          <w:p w14:paraId="4FA1CB8B" w14:textId="77777777" w:rsidR="008974D1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 xml:space="preserve">W skład zestawu wchodzą: kartki papieru, flamastry, karteczki samoprzylepne, taśma klejąca, nożyczki, filmy instruktarzowe, materiały dla uczestników: skrypt na pendrive, pakiety ćwiczeń. Szacunkowy koszt materiałów przypadający na osobę to 50 zł podczas 30 godzin warsztatów. Koszt na osobę oszacowany na podstawie dotychczasowego doświadczenia wnioskodawcy w realizacji podobnych zajęć. </w:t>
            </w:r>
          </w:p>
        </w:tc>
      </w:tr>
    </w:tbl>
    <w:p w14:paraId="6378F4C4" w14:textId="77777777" w:rsidR="007E0D58" w:rsidRPr="00254C1C" w:rsidRDefault="007E0D58" w:rsidP="00254C1C">
      <w:pPr>
        <w:rPr>
          <w:rFonts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E0D58" w:rsidRPr="00254C1C" w14:paraId="33E1F389" w14:textId="77777777" w:rsidTr="007E0D58">
        <w:tc>
          <w:tcPr>
            <w:tcW w:w="9062" w:type="dxa"/>
            <w:shd w:val="clear" w:color="auto" w:fill="BFBFBF" w:themeFill="background1" w:themeFillShade="BF"/>
          </w:tcPr>
          <w:p w14:paraId="3252F731" w14:textId="77777777" w:rsidR="007E0D58" w:rsidRPr="00254C1C" w:rsidRDefault="007E0D58" w:rsidP="00254C1C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3A6FD8">
              <w:rPr>
                <w:rFonts w:cstheme="minorHAnsi"/>
                <w:b/>
                <w:szCs w:val="24"/>
              </w:rPr>
              <w:t>Zalecenia dotyczące zakresu niezbędnych informacji uzasadniających dany koszt</w:t>
            </w:r>
          </w:p>
        </w:tc>
      </w:tr>
    </w:tbl>
    <w:p w14:paraId="7E489559" w14:textId="77777777" w:rsidR="000020FD" w:rsidRPr="00254C1C" w:rsidRDefault="000020FD" w:rsidP="00254C1C">
      <w:pPr>
        <w:spacing w:after="0"/>
        <w:rPr>
          <w:rFonts w:cstheme="minorHAnsi"/>
          <w:bCs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6549"/>
      </w:tblGrid>
      <w:tr w:rsidR="001D07CE" w:rsidRPr="002B235F" w14:paraId="10EE5676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3AD140ED" w14:textId="77777777" w:rsidR="001D07CE" w:rsidRPr="002B235F" w:rsidRDefault="001D07CE" w:rsidP="00254C1C">
            <w:pPr>
              <w:pStyle w:val="Default"/>
              <w:spacing w:line="276" w:lineRule="auto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49" w:type="dxa"/>
          </w:tcPr>
          <w:p w14:paraId="3B2A08DB" w14:textId="77777777" w:rsidR="001D07CE" w:rsidRPr="001D07CE" w:rsidRDefault="001D07CE" w:rsidP="001D07CE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 w:rsidRPr="001D07CE">
              <w:rPr>
                <w:bCs/>
                <w:sz w:val="22"/>
                <w:szCs w:val="22"/>
              </w:rPr>
              <w:t>W przypadku tego rodzaju kosztu w uzasadnieniu pod budżetem należy wskazać informacje nt.</w:t>
            </w:r>
          </w:p>
          <w:p w14:paraId="56A28F93" w14:textId="77777777" w:rsidR="001D07CE" w:rsidRPr="001D07CE" w:rsidRDefault="001D07CE" w:rsidP="001D07CE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 w:rsidRPr="001D07CE">
              <w:rPr>
                <w:bCs/>
                <w:sz w:val="22"/>
                <w:szCs w:val="22"/>
              </w:rPr>
              <w:t>- rodzaju planowanych imprez, ich cel (kulturalne, rekreacyjne, towarzyskie);</w:t>
            </w:r>
          </w:p>
          <w:p w14:paraId="356AE853" w14:textId="77777777" w:rsidR="001D07CE" w:rsidRPr="001D07CE" w:rsidRDefault="001D07CE" w:rsidP="001D07CE">
            <w:pPr>
              <w:pStyle w:val="Default"/>
              <w:spacing w:line="276" w:lineRule="auto"/>
              <w:rPr>
                <w:bCs/>
                <w:i/>
                <w:sz w:val="22"/>
                <w:szCs w:val="22"/>
              </w:rPr>
            </w:pPr>
            <w:r w:rsidRPr="001D07CE">
              <w:rPr>
                <w:bCs/>
                <w:i/>
                <w:sz w:val="22"/>
                <w:szCs w:val="22"/>
              </w:rPr>
              <w:t xml:space="preserve">- </w:t>
            </w:r>
            <w:r w:rsidRPr="001D07CE">
              <w:rPr>
                <w:bCs/>
                <w:sz w:val="22"/>
                <w:szCs w:val="22"/>
              </w:rPr>
              <w:t>przewidywaną liczbę uczestników;</w:t>
            </w:r>
          </w:p>
          <w:p w14:paraId="615F7D89" w14:textId="77777777" w:rsidR="001D07CE" w:rsidRPr="001D07CE" w:rsidRDefault="001D07CE" w:rsidP="001D07C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1D07CE">
              <w:rPr>
                <w:sz w:val="22"/>
                <w:szCs w:val="22"/>
              </w:rPr>
              <w:t>- przewidywany czas trwania imprezy;</w:t>
            </w:r>
          </w:p>
          <w:p w14:paraId="08B488BC" w14:textId="275FD241" w:rsidR="001D07CE" w:rsidRPr="001D07CE" w:rsidRDefault="001D07CE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sz w:val="22"/>
                <w:szCs w:val="22"/>
              </w:rPr>
              <w:t>- podstawę oszacowania kosztu (np. doświadczenie w realizacji tego typu wsparcia, przykładowy katalog kosztów).</w:t>
            </w:r>
          </w:p>
        </w:tc>
      </w:tr>
      <w:tr w:rsidR="001D07CE" w:rsidRPr="002B235F" w14:paraId="6330C204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7F8E71AE" w14:textId="5E6290C3" w:rsidR="001D07CE" w:rsidRPr="00B23BC0" w:rsidRDefault="001D07CE" w:rsidP="00254C1C">
            <w:pPr>
              <w:pStyle w:val="Default"/>
              <w:spacing w:line="276" w:lineRule="auto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3BC0">
              <w:rPr>
                <w:b/>
                <w:bCs/>
                <w:sz w:val="22"/>
                <w:szCs w:val="22"/>
              </w:rPr>
              <w:lastRenderedPageBreak/>
              <w:t xml:space="preserve">Dostosowanie lub adaptacja budynków lub pomieszczeń </w:t>
            </w:r>
            <w:r w:rsidRPr="0038667F">
              <w:rPr>
                <w:b/>
                <w:bCs/>
                <w:sz w:val="22"/>
                <w:szCs w:val="22"/>
              </w:rPr>
              <w:t xml:space="preserve">na </w:t>
            </w:r>
            <w:r w:rsidR="00B23BC0" w:rsidRPr="0038667F">
              <w:rPr>
                <w:b/>
                <w:bCs/>
                <w:sz w:val="22"/>
                <w:szCs w:val="22"/>
              </w:rPr>
              <w:t>spotkania z zakresu aktywizacji społecznej</w:t>
            </w:r>
          </w:p>
        </w:tc>
        <w:tc>
          <w:tcPr>
            <w:tcW w:w="6549" w:type="dxa"/>
          </w:tcPr>
          <w:p w14:paraId="3513A110" w14:textId="77777777" w:rsidR="001D07CE" w:rsidRPr="001D07CE" w:rsidRDefault="001D07CE" w:rsidP="001D07C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1D07CE">
              <w:rPr>
                <w:sz w:val="22"/>
                <w:szCs w:val="22"/>
              </w:rPr>
              <w:t>Koszty należą do kategorii limitowanej cross-</w:t>
            </w:r>
            <w:proofErr w:type="spellStart"/>
            <w:r w:rsidRPr="001D07CE">
              <w:rPr>
                <w:sz w:val="22"/>
                <w:szCs w:val="22"/>
              </w:rPr>
              <w:t>financing</w:t>
            </w:r>
            <w:proofErr w:type="spellEnd"/>
            <w:r w:rsidRPr="001D07CE">
              <w:rPr>
                <w:sz w:val="22"/>
                <w:szCs w:val="22"/>
              </w:rPr>
              <w:t xml:space="preserve">. </w:t>
            </w:r>
          </w:p>
          <w:p w14:paraId="4D16B276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  <w:b/>
              </w:rPr>
              <w:t>W polu „Uzasadnienie dla cross-</w:t>
            </w:r>
            <w:proofErr w:type="spellStart"/>
            <w:r w:rsidRPr="001D07CE">
              <w:rPr>
                <w:rFonts w:cs="Calibri"/>
                <w:b/>
              </w:rPr>
              <w:t>financingu</w:t>
            </w:r>
            <w:proofErr w:type="spellEnd"/>
            <w:r w:rsidRPr="001D07CE">
              <w:rPr>
                <w:rFonts w:cs="Calibri"/>
                <w:b/>
              </w:rPr>
              <w:t>”</w:t>
            </w:r>
            <w:r w:rsidRPr="001D07CE">
              <w:rPr>
                <w:rFonts w:cs="Calibri"/>
              </w:rPr>
              <w:t xml:space="preserve"> </w:t>
            </w:r>
            <w:r w:rsidRPr="001D07CE">
              <w:rPr>
                <w:rFonts w:cs="Calibri"/>
                <w:b/>
              </w:rPr>
              <w:t xml:space="preserve">należy w sposób precyzyjny wskazać zakres planowanych prac wraz z kalkulacją wydatków stanowiącą podstawę do oszacowania kosztu. </w:t>
            </w:r>
            <w:r w:rsidRPr="001D07CE">
              <w:rPr>
                <w:rFonts w:cs="Calibri"/>
              </w:rPr>
              <w:t>Ponadto w uzasadnieniu należy:</w:t>
            </w:r>
          </w:p>
          <w:p w14:paraId="7AC935ED" w14:textId="77777777" w:rsidR="001D07CE" w:rsidRPr="001D07CE" w:rsidRDefault="001D07CE" w:rsidP="001D07CE">
            <w:pPr>
              <w:pStyle w:val="Akapitzlist"/>
              <w:numPr>
                <w:ilvl w:val="0"/>
                <w:numId w:val="4"/>
              </w:numPr>
              <w:spacing w:before="0" w:line="276" w:lineRule="auto"/>
              <w:ind w:left="285" w:hanging="284"/>
              <w:contextualSpacing/>
              <w:rPr>
                <w:rFonts w:cs="Calibri"/>
                <w:szCs w:val="22"/>
              </w:rPr>
            </w:pPr>
            <w:r w:rsidRPr="001D07CE">
              <w:rPr>
                <w:rFonts w:cs="Calibri"/>
                <w:szCs w:val="22"/>
              </w:rPr>
              <w:t xml:space="preserve"> uzasadnić konieczność sfinansowania prac remontowo-wykończeniowych budynków i pomieszczeń dla realizacji konkretnych zadań merytorycznych w ramach projektu;  </w:t>
            </w:r>
          </w:p>
          <w:p w14:paraId="1426B5DE" w14:textId="77777777" w:rsidR="001D07CE" w:rsidRPr="001D07CE" w:rsidRDefault="001D07CE" w:rsidP="001D07CE">
            <w:pPr>
              <w:pStyle w:val="Akapitzlist"/>
              <w:numPr>
                <w:ilvl w:val="0"/>
                <w:numId w:val="4"/>
              </w:numPr>
              <w:spacing w:before="0" w:line="276" w:lineRule="auto"/>
              <w:ind w:left="285" w:hanging="284"/>
              <w:contextualSpacing/>
              <w:rPr>
                <w:rFonts w:cs="Calibri"/>
                <w:szCs w:val="22"/>
              </w:rPr>
            </w:pPr>
            <w:r w:rsidRPr="001D07CE">
              <w:rPr>
                <w:rFonts w:cs="Calibri"/>
                <w:szCs w:val="22"/>
              </w:rPr>
              <w:t>wskazać, dlaczego bez poniesienia przedmiotowych wydatków realizacja projektu nie byłaby możliwa, w szczególności w związku z zapewnieniem realizacji zasady równości szans, a zwłaszcza potrzeb osób z niepełnosprawnościami;</w:t>
            </w:r>
          </w:p>
          <w:p w14:paraId="2C1BC75D" w14:textId="77777777" w:rsidR="001D07CE" w:rsidRPr="001D07CE" w:rsidRDefault="001D07CE" w:rsidP="001D07CE">
            <w:pPr>
              <w:pStyle w:val="Akapitzlist"/>
              <w:numPr>
                <w:ilvl w:val="0"/>
                <w:numId w:val="4"/>
              </w:numPr>
              <w:spacing w:before="0" w:line="276" w:lineRule="auto"/>
              <w:ind w:left="285" w:hanging="284"/>
              <w:contextualSpacing/>
              <w:rPr>
                <w:rFonts w:cs="Calibri"/>
                <w:szCs w:val="22"/>
              </w:rPr>
            </w:pPr>
            <w:r w:rsidRPr="001D07CE">
              <w:rPr>
                <w:rFonts w:cs="Calibri"/>
                <w:szCs w:val="22"/>
              </w:rPr>
              <w:t>wskazać trwałość projektu, która zgodnie z Wytycznymi obowiązuje w odniesieniu do współfinansowanej w projekcie infrastruktury.</w:t>
            </w:r>
          </w:p>
          <w:p w14:paraId="40BBF9BA" w14:textId="77777777" w:rsidR="001D07CE" w:rsidRPr="001D07CE" w:rsidRDefault="001D07CE" w:rsidP="001D07CE">
            <w:pPr>
              <w:spacing w:after="0"/>
              <w:rPr>
                <w:rFonts w:cs="Calibri"/>
                <w:b/>
              </w:rPr>
            </w:pPr>
            <w:r w:rsidRPr="001D07CE">
              <w:rPr>
                <w:rFonts w:cs="Calibri"/>
                <w:b/>
              </w:rPr>
              <w:t>W projektach kwalifikowane są wyłącznie takie wydatki, których poniesienie wynika z potrzeby realizacji danego projektu, jest niezbędne i stanowi logiczne uzupełnienie działań merytorycznych wynikających bezpośrednio z celu projektu.</w:t>
            </w:r>
          </w:p>
          <w:p w14:paraId="16AC1866" w14:textId="06681E3B" w:rsidR="001D07CE" w:rsidRPr="001D07CE" w:rsidRDefault="001D07CE" w:rsidP="001D07CE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 w:rsidRPr="001D07CE">
              <w:rPr>
                <w:sz w:val="22"/>
                <w:szCs w:val="22"/>
              </w:rPr>
              <w:t>Niezbędność kosztów będzie weryfikowana również w kontekście załącznika do Regulaminu konkursu w postaci minimalnych wymogów świadczenia usług społecznych.</w:t>
            </w:r>
          </w:p>
        </w:tc>
      </w:tr>
      <w:tr w:rsidR="007E0D58" w:rsidRPr="002B235F" w14:paraId="2ED2B54B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41967B95" w14:textId="77777777" w:rsidR="007E0D58" w:rsidRPr="002B235F" w:rsidRDefault="007E0D58" w:rsidP="00254C1C">
            <w:pPr>
              <w:pStyle w:val="Default"/>
              <w:spacing w:line="276" w:lineRule="auto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Staż </w:t>
            </w:r>
          </w:p>
        </w:tc>
        <w:tc>
          <w:tcPr>
            <w:tcW w:w="6549" w:type="dxa"/>
          </w:tcPr>
          <w:p w14:paraId="450FCD88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W przypadku tego rodzaju kosztu w uzasadnieniu pod budżetem należy wskazać informacje nt.:</w:t>
            </w:r>
          </w:p>
          <w:p w14:paraId="0A4CC269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liczby osób skierowanych na staż;</w:t>
            </w:r>
          </w:p>
          <w:p w14:paraId="3DCAEE1E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liczby miesięcy stażu;</w:t>
            </w:r>
          </w:p>
          <w:p w14:paraId="2D1DC2AD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miesięcznego kosztu stypendium stażowego na uczestnika;</w:t>
            </w:r>
          </w:p>
          <w:p w14:paraId="69C22F27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kosztu wynagrodzenia opiekuna stażu;</w:t>
            </w:r>
          </w:p>
          <w:p w14:paraId="5997CFDF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miesięcznego kosztu dojazdu uczestnika na staż;</w:t>
            </w:r>
          </w:p>
          <w:p w14:paraId="300E7CA6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kosztu obuwia i odzieży roboczej (maksymalnie); </w:t>
            </w:r>
          </w:p>
          <w:p w14:paraId="36D0AF97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kosztu badania lekarskiego/medycyny pracy;</w:t>
            </w:r>
          </w:p>
          <w:p w14:paraId="7EED1209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bCs/>
                <w:sz w:val="22"/>
                <w:szCs w:val="22"/>
              </w:rPr>
              <w:t>- kosztu ubezpieczenia uczestników;</w:t>
            </w:r>
          </w:p>
          <w:p w14:paraId="67D9EFD5" w14:textId="77777777" w:rsidR="007E0D58" w:rsidRPr="001D07CE" w:rsidRDefault="007E0D58" w:rsidP="001D07CE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07CE">
              <w:rPr>
                <w:rFonts w:asciiTheme="minorHAnsi" w:hAnsiTheme="minorHAnsi" w:cstheme="minorHAnsi"/>
                <w:sz w:val="22"/>
                <w:szCs w:val="22"/>
              </w:rPr>
              <w:t>- podstawy oszacowania kosztu (np. doświadczenie w realizacji tego typu wsparcia, rozeznanie rynku).</w:t>
            </w:r>
          </w:p>
        </w:tc>
      </w:tr>
      <w:tr w:rsidR="007E0D58" w:rsidRPr="002B235F" w14:paraId="1ADDD07B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6481BBD6" w14:textId="77777777" w:rsidR="007E0D58" w:rsidRPr="002B235F" w:rsidRDefault="007E0D58" w:rsidP="00254C1C">
            <w:pPr>
              <w:pStyle w:val="Default"/>
              <w:spacing w:line="276" w:lineRule="auto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sz w:val="22"/>
                <w:szCs w:val="22"/>
              </w:rPr>
              <w:t>Szkolenia zawodowe</w:t>
            </w:r>
          </w:p>
        </w:tc>
        <w:tc>
          <w:tcPr>
            <w:tcW w:w="6549" w:type="dxa"/>
          </w:tcPr>
          <w:p w14:paraId="600FE66B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W przypadku tego rodzaju kosztu w uzasadnieniu pod budżetem należy wskazać informacje nt.:</w:t>
            </w:r>
          </w:p>
          <w:p w14:paraId="5D07835E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liczby osób skierowanych na szkolenia;</w:t>
            </w:r>
          </w:p>
          <w:p w14:paraId="04478797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przewidywanej liczby godzin szkolenia;</w:t>
            </w:r>
          </w:p>
          <w:p w14:paraId="4729688C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miesięcznego kosztu stypendium szkoleniowego na uczestnika</w:t>
            </w:r>
            <w:r w:rsidRPr="002B235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;</w:t>
            </w:r>
          </w:p>
          <w:p w14:paraId="1A9CA1A5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kosztu dojazdu uczestnika na szkolenie;</w:t>
            </w:r>
          </w:p>
          <w:p w14:paraId="05F2082B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rodzaju materiałów szkoleniowych;</w:t>
            </w:r>
          </w:p>
          <w:p w14:paraId="31300934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- podstawy oszacowania kosztu (np. doświadczenie w realizacji tego typu wsparcia, rozeznanie rynku).</w:t>
            </w:r>
          </w:p>
        </w:tc>
      </w:tr>
      <w:tr w:rsidR="007E0D58" w:rsidRPr="002B235F" w14:paraId="0A226BAA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4A93C830" w14:textId="77777777" w:rsidR="007E0D58" w:rsidRPr="002B235F" w:rsidRDefault="007E0D58" w:rsidP="00254C1C">
            <w:pPr>
              <w:pStyle w:val="Default"/>
              <w:spacing w:line="276" w:lineRule="auto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Szkolenia/ warsztaty/ spotkania z zakresu </w:t>
            </w:r>
            <w:r w:rsidRPr="002B235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instrumentów aktywizacji społecznej</w:t>
            </w:r>
          </w:p>
        </w:tc>
        <w:tc>
          <w:tcPr>
            <w:tcW w:w="6549" w:type="dxa"/>
          </w:tcPr>
          <w:p w14:paraId="2273BA8C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 przypadku tego rodzaju kosztu w uzasadnieniu pod budżetem należy wskazać informacje nt.:</w:t>
            </w:r>
          </w:p>
          <w:p w14:paraId="4CC84FEB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rodzaju planowanego instrumentu;</w:t>
            </w:r>
          </w:p>
          <w:p w14:paraId="3BAEDA04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lastRenderedPageBreak/>
              <w:t xml:space="preserve">- </w:t>
            </w: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przewidywanej liczbę uczestników;</w:t>
            </w:r>
          </w:p>
          <w:p w14:paraId="3DEE97A8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- przewidywanego czasu trwania – liczba godzin (w tym liczbę godzin wsparcia w ciągu dnia);</w:t>
            </w:r>
          </w:p>
          <w:p w14:paraId="053CD776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- podstawy oszacowania kosztu (np. doświadczenie w realizacji tego typu wsparcia oraz przykładowy katalog kosztów z uwzględnieniem kosztów: trenera, cateringu, materiałów szkoleniowych).</w:t>
            </w:r>
          </w:p>
        </w:tc>
      </w:tr>
      <w:tr w:rsidR="007E0D58" w:rsidRPr="002B235F" w14:paraId="64FF33C5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65890929" w14:textId="77777777" w:rsidR="007E0D58" w:rsidRPr="002B235F" w:rsidRDefault="007E0D58" w:rsidP="00254C1C">
            <w:pPr>
              <w:pStyle w:val="Default"/>
              <w:spacing w:line="276" w:lineRule="auto"/>
              <w:ind w:right="-10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Działania o charakterze środowiskowym</w:t>
            </w:r>
          </w:p>
        </w:tc>
        <w:tc>
          <w:tcPr>
            <w:tcW w:w="6549" w:type="dxa"/>
          </w:tcPr>
          <w:p w14:paraId="553150C5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W przypadku tego rodzaju kosztu w uzasadnieniu pod budżetem należy wskazać informacje nt.</w:t>
            </w:r>
          </w:p>
          <w:p w14:paraId="5FF47E77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- rodzaju planowanego działania, jej cel;</w:t>
            </w:r>
          </w:p>
          <w:p w14:paraId="41A48075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- </w:t>
            </w:r>
            <w:r w:rsidRPr="002B235F">
              <w:rPr>
                <w:rFonts w:asciiTheme="minorHAnsi" w:hAnsiTheme="minorHAnsi" w:cstheme="minorHAnsi"/>
                <w:bCs/>
                <w:sz w:val="22"/>
                <w:szCs w:val="22"/>
              </w:rPr>
              <w:t>przewidywanej liczby uczestników;</w:t>
            </w:r>
          </w:p>
          <w:p w14:paraId="5EE0F18D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- przewidywanego czasu trwania – liczba godzin;</w:t>
            </w:r>
          </w:p>
          <w:p w14:paraId="769FA162" w14:textId="77777777" w:rsidR="007E0D58" w:rsidRPr="002B235F" w:rsidRDefault="007E0D58" w:rsidP="00254C1C">
            <w:pPr>
              <w:pStyle w:val="Default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sz w:val="22"/>
                <w:szCs w:val="22"/>
              </w:rPr>
              <w:t>- podstawy oszacowania kosztu (np. doświadczenie w realizacji tego typu wsparcia oraz przykładowy katalog kosztów z uwzględnieniem kosztów: trenera, cateringu, materiałów).</w:t>
            </w:r>
          </w:p>
        </w:tc>
      </w:tr>
    </w:tbl>
    <w:p w14:paraId="0989D6CA" w14:textId="77777777" w:rsidR="005C187F" w:rsidRDefault="005C187F" w:rsidP="00B23BC0">
      <w:pPr>
        <w:spacing w:after="0"/>
        <w:rPr>
          <w:rFonts w:cs="Calibri"/>
          <w:lang w:eastAsia="x-none"/>
        </w:rPr>
      </w:pPr>
      <w:bookmarkStart w:id="0" w:name="_Hlk84402916"/>
    </w:p>
    <w:p w14:paraId="38FCE851" w14:textId="4CD7B00E" w:rsidR="001D07CE" w:rsidRDefault="001D07CE" w:rsidP="00B23BC0">
      <w:pPr>
        <w:spacing w:after="0"/>
        <w:rPr>
          <w:rFonts w:eastAsia="Times New Roman" w:cs="Calibri"/>
        </w:rPr>
      </w:pPr>
      <w:r w:rsidRPr="001D07CE">
        <w:rPr>
          <w:rFonts w:cs="Calibri"/>
          <w:lang w:eastAsia="x-none"/>
        </w:rPr>
        <w:t>Zgodnie z Wytycznymi cross-</w:t>
      </w:r>
      <w:proofErr w:type="spellStart"/>
      <w:r w:rsidRPr="001D07CE">
        <w:rPr>
          <w:rFonts w:cs="Calibri"/>
          <w:lang w:eastAsia="x-none"/>
        </w:rPr>
        <w:t>financing</w:t>
      </w:r>
      <w:proofErr w:type="spellEnd"/>
      <w:r w:rsidRPr="001D07CE">
        <w:rPr>
          <w:rFonts w:cs="Calibri"/>
          <w:lang w:eastAsia="x-none"/>
        </w:rPr>
        <w:t xml:space="preserve"> w ramach projektów może dotyczyć wyłącznie takich kategorii wydatków, bez których realizacja projektu nie byłaby możliwa, w szczególności w związku z zapewnieniem realizacji zasady równości szans a zwłaszcza potrzeb osób z niepełnosprawnościami. W związku z powyższym za kwalifikowalne uznane zostaną wyłącznie wydatki niezbędne do dostosowania budynku/pomieszczeń </w:t>
      </w:r>
      <w:r w:rsidRPr="001D07CE">
        <w:rPr>
          <w:rFonts w:cs="Calibri"/>
        </w:rPr>
        <w:t>do pełnienia określonej funkcji</w:t>
      </w:r>
      <w:r w:rsidRPr="001D07CE" w:rsidDel="00032891">
        <w:rPr>
          <w:rFonts w:cs="Calibri"/>
          <w:lang w:eastAsia="x-none"/>
        </w:rPr>
        <w:t xml:space="preserve"> </w:t>
      </w:r>
      <w:r w:rsidRPr="001D07CE">
        <w:rPr>
          <w:rFonts w:cs="Calibri"/>
          <w:lang w:eastAsia="x-none"/>
        </w:rPr>
        <w:t xml:space="preserve">(adaptacja sal, łazienek, kuchni do pełnienia funkcji DDP/Klubu seniora/Placówki wsparcia dziennego) oraz dostosowania do potrzeb osób z niepełnosprawnościami. </w:t>
      </w:r>
      <w:r w:rsidRPr="001D07CE">
        <w:rPr>
          <w:rFonts w:cs="Calibri"/>
        </w:rPr>
        <w:t>Do kosztów związanych z cross-</w:t>
      </w:r>
      <w:proofErr w:type="spellStart"/>
      <w:r w:rsidRPr="001D07CE">
        <w:rPr>
          <w:rFonts w:cs="Calibri"/>
        </w:rPr>
        <w:t>financingiem</w:t>
      </w:r>
      <w:proofErr w:type="spellEnd"/>
      <w:r w:rsidRPr="001D07CE">
        <w:rPr>
          <w:rFonts w:cs="Calibri"/>
        </w:rPr>
        <w:t xml:space="preserve"> w zakresie dostosowania lub adaptacji pomieszczeń, oprócz kosztów związanych z pracami remontowo-wykończeniowymi, należy zaliczyć takie koszty w budżecie, jak: zlewy, umywalki, miski ustępowe, krany, kabiny prysznicowe, rolety zewnętrzne, meble pod wymiar i zabudowę itp., które są na stałe przytwierdzone do ścian/budynku. Wydatki związane z zakupem materiałów remontowo-budowlanych (np. farb malarskich), służące do adaptacji lub modernizacji pomieszczeń, bez względu na wartość jednostkową będą stanowiły cross-</w:t>
      </w:r>
      <w:proofErr w:type="spellStart"/>
      <w:r w:rsidRPr="001D07CE">
        <w:rPr>
          <w:rFonts w:cs="Calibri"/>
        </w:rPr>
        <w:t>financing</w:t>
      </w:r>
      <w:proofErr w:type="spellEnd"/>
      <w:r w:rsidRPr="001D07CE">
        <w:rPr>
          <w:rFonts w:cs="Calibri"/>
        </w:rPr>
        <w:t>. Koszt zakupu środków trwałych przeznaczonych na dostosowanie budynków i pomieszczeń również należy rozliczać w ramach cross-</w:t>
      </w:r>
      <w:proofErr w:type="spellStart"/>
      <w:r w:rsidRPr="001D07CE">
        <w:rPr>
          <w:rFonts w:cs="Calibri"/>
        </w:rPr>
        <w:t>financingu</w:t>
      </w:r>
      <w:proofErr w:type="spellEnd"/>
      <w:r w:rsidRPr="001D07CE">
        <w:rPr>
          <w:rFonts w:cs="Calibri"/>
        </w:rPr>
        <w:t>. Należy zatem przyjąć, iż część z ww. wydatków, np. zakup urządzeń sanitarnych, grzewczych, materiałów budowlanych będzie stanowić koszt poniesiony w ramach cross-</w:t>
      </w:r>
      <w:proofErr w:type="spellStart"/>
      <w:r w:rsidRPr="001D07CE">
        <w:rPr>
          <w:rFonts w:cs="Calibri"/>
        </w:rPr>
        <w:t>financingu</w:t>
      </w:r>
      <w:proofErr w:type="spellEnd"/>
      <w:r w:rsidRPr="001D07CE">
        <w:rPr>
          <w:rFonts w:cs="Calibri"/>
        </w:rPr>
        <w:t>, natomiast zakup mebli i urządzeń o koszcie jednostkowym wyższym niż 10 000 zł netto rozliczany będzie w ramach środków trwałych, poza cross-</w:t>
      </w:r>
      <w:proofErr w:type="spellStart"/>
      <w:r w:rsidRPr="001D07CE">
        <w:rPr>
          <w:rFonts w:cs="Calibri"/>
        </w:rPr>
        <w:t>financingiem</w:t>
      </w:r>
      <w:proofErr w:type="spellEnd"/>
      <w:r w:rsidRPr="001D07CE">
        <w:rPr>
          <w:rFonts w:cs="Calibri"/>
        </w:rPr>
        <w:t>.</w:t>
      </w:r>
      <w:r w:rsidRPr="001D07CE">
        <w:rPr>
          <w:rFonts w:eastAsia="Times New Roman" w:cs="Calibri"/>
        </w:rPr>
        <w:t xml:space="preserve"> </w:t>
      </w:r>
    </w:p>
    <w:p w14:paraId="533B4ABF" w14:textId="77777777" w:rsidR="005C187F" w:rsidRPr="001D07CE" w:rsidRDefault="005C187F" w:rsidP="00B23BC0">
      <w:pPr>
        <w:spacing w:after="0"/>
        <w:rPr>
          <w:rFonts w:eastAsia="Times New Roman" w:cs="Calibri"/>
        </w:rPr>
      </w:pPr>
    </w:p>
    <w:p w14:paraId="59694F61" w14:textId="40E11E7C" w:rsidR="001D07CE" w:rsidRDefault="001D07CE" w:rsidP="001D07CE">
      <w:pPr>
        <w:spacing w:after="0"/>
        <w:rPr>
          <w:rFonts w:eastAsia="Times New Roman" w:cs="Calibri"/>
        </w:rPr>
      </w:pPr>
      <w:r w:rsidRPr="001D07CE">
        <w:rPr>
          <w:rFonts w:eastAsia="Times New Roman" w:cs="Calibri"/>
        </w:rPr>
        <w:t>Przykład:</w:t>
      </w:r>
    </w:p>
    <w:p w14:paraId="175B62C0" w14:textId="77777777" w:rsidR="001D07CE" w:rsidRPr="001D07CE" w:rsidRDefault="001D07CE" w:rsidP="001D07CE">
      <w:pPr>
        <w:spacing w:after="0"/>
        <w:rPr>
          <w:rFonts w:eastAsia="Times New Roman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7263"/>
      </w:tblGrid>
      <w:tr w:rsidR="001D07CE" w:rsidRPr="001D07CE" w14:paraId="6A7CFA80" w14:textId="77777777" w:rsidTr="00C03166">
        <w:tc>
          <w:tcPr>
            <w:tcW w:w="9062" w:type="dxa"/>
            <w:gridSpan w:val="2"/>
            <w:shd w:val="clear" w:color="auto" w:fill="D9D9D9"/>
          </w:tcPr>
          <w:p w14:paraId="381721EB" w14:textId="77777777" w:rsidR="001D07CE" w:rsidRPr="001D07CE" w:rsidRDefault="001D07CE" w:rsidP="001D07CE">
            <w:pPr>
              <w:spacing w:after="0"/>
              <w:rPr>
                <w:rFonts w:cs="Calibri"/>
                <w:b/>
              </w:rPr>
            </w:pPr>
            <w:r w:rsidRPr="001D07CE">
              <w:rPr>
                <w:rFonts w:cs="Calibri"/>
                <w:b/>
              </w:rPr>
              <w:t>Uzasadnienie dla cross-</w:t>
            </w:r>
            <w:proofErr w:type="spellStart"/>
            <w:r w:rsidRPr="001D07CE">
              <w:rPr>
                <w:rFonts w:cs="Calibri"/>
                <w:b/>
              </w:rPr>
              <w:t>financingu</w:t>
            </w:r>
            <w:proofErr w:type="spellEnd"/>
          </w:p>
        </w:tc>
      </w:tr>
      <w:tr w:rsidR="001D07CE" w:rsidRPr="001D07CE" w14:paraId="78D44D53" w14:textId="77777777" w:rsidTr="00C03166">
        <w:tc>
          <w:tcPr>
            <w:tcW w:w="1797" w:type="dxa"/>
            <w:shd w:val="clear" w:color="auto" w:fill="D9D9D9"/>
          </w:tcPr>
          <w:p w14:paraId="57A3014D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Numer pozycji budżetowej</w:t>
            </w:r>
          </w:p>
        </w:tc>
        <w:tc>
          <w:tcPr>
            <w:tcW w:w="7265" w:type="dxa"/>
            <w:shd w:val="clear" w:color="auto" w:fill="FFFFFF"/>
          </w:tcPr>
          <w:p w14:paraId="2375CA08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6 – Adaptacja pomieszczeń.</w:t>
            </w:r>
          </w:p>
        </w:tc>
      </w:tr>
      <w:tr w:rsidR="001D07CE" w:rsidRPr="001D07CE" w14:paraId="5D9D050F" w14:textId="77777777" w:rsidTr="00C03166">
        <w:trPr>
          <w:trHeight w:val="667"/>
        </w:trPr>
        <w:tc>
          <w:tcPr>
            <w:tcW w:w="1797" w:type="dxa"/>
            <w:shd w:val="clear" w:color="auto" w:fill="D9D9D9"/>
          </w:tcPr>
          <w:p w14:paraId="03A760BE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Uzasadnienie</w:t>
            </w:r>
          </w:p>
        </w:tc>
        <w:tc>
          <w:tcPr>
            <w:tcW w:w="7265" w:type="dxa"/>
          </w:tcPr>
          <w:p w14:paraId="4737089A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Przeprowadzenie prac adaptacyjno-remontowych na potrzeby utworzenia kuchni i łazienki jest niezbędne dla funkcjonowania DDP.</w:t>
            </w:r>
          </w:p>
          <w:p w14:paraId="2551E2E6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Kalkulacja kosztów wykazanych w pozycji obejmuje zakup i montaż: </w:t>
            </w:r>
          </w:p>
          <w:p w14:paraId="517A5B0F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drzwi przeciwpożarowe– 2 szt. x 1 250 zł/szt. = 2 500 zł </w:t>
            </w:r>
          </w:p>
          <w:p w14:paraId="5E042F8E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- 4 miski ustępowe x 500 zł/szt. = 2 000 zł; </w:t>
            </w:r>
          </w:p>
          <w:p w14:paraId="61A14402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brodzik z prysznicem = 600 zł; </w:t>
            </w:r>
          </w:p>
          <w:p w14:paraId="02BAF060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lastRenderedPageBreak/>
              <w:t xml:space="preserve">- 1 bateria prysznicowa = 450 zł, </w:t>
            </w:r>
          </w:p>
          <w:p w14:paraId="58A438B6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- 3 umywalki x 245 zł/szt. = 735 zł; </w:t>
            </w:r>
          </w:p>
          <w:p w14:paraId="2F2093E8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- 3 baterie do umywalek x 100 zł/szt. = 300 zł; </w:t>
            </w:r>
          </w:p>
          <w:p w14:paraId="0FD70A72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glazura, terakota (kuchnia, łazienka) – 80 m2 x 35 zł/m2 – 2 800 zł </w:t>
            </w:r>
          </w:p>
          <w:p w14:paraId="47B85EC0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- położenie glazury i terakoty – 80 m2 x 50 zł/m2 – 4 000 zł </w:t>
            </w:r>
          </w:p>
          <w:p w14:paraId="0717D374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- zakup farb i innych materiałów wykończeniowych – 2 000 zł,</w:t>
            </w:r>
          </w:p>
          <w:p w14:paraId="3817CB9A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Meble kuchenne pod zabudowę – 8 000 zł.</w:t>
            </w:r>
          </w:p>
          <w:p w14:paraId="03EAB136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Wnioskodawca deklaruje zagwarantowanie trwałości projektu rozumianej jako utrzymanie charakteru i zakresu infrastruktury przez okres 5 lat od daty płatności końcowej.</w:t>
            </w:r>
            <w:r w:rsidRPr="001D07CE">
              <w:rPr>
                <w:rFonts w:cs="Calibri"/>
                <w:color w:val="555555"/>
                <w:shd w:val="clear" w:color="auto" w:fill="FFFFFF"/>
              </w:rPr>
              <w:t> </w:t>
            </w:r>
          </w:p>
        </w:tc>
      </w:tr>
    </w:tbl>
    <w:p w14:paraId="6BD8033D" w14:textId="27E82237" w:rsidR="001D07CE" w:rsidRDefault="001D07CE" w:rsidP="001D07CE">
      <w:pPr>
        <w:spacing w:after="0"/>
        <w:rPr>
          <w:rFonts w:eastAsia="Times New Roman" w:cs="Calibri"/>
        </w:rPr>
      </w:pPr>
    </w:p>
    <w:p w14:paraId="0F754FE1" w14:textId="77777777" w:rsidR="001D07CE" w:rsidRPr="001D07CE" w:rsidRDefault="001D07CE" w:rsidP="001D07CE">
      <w:pPr>
        <w:spacing w:after="0"/>
        <w:rPr>
          <w:rFonts w:eastAsia="Times New Roman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1D07CE" w:rsidRPr="001D07CE" w14:paraId="1B21E0A5" w14:textId="77777777" w:rsidTr="00C03166">
        <w:tc>
          <w:tcPr>
            <w:tcW w:w="9039" w:type="dxa"/>
            <w:gridSpan w:val="2"/>
          </w:tcPr>
          <w:p w14:paraId="59011F7D" w14:textId="77777777" w:rsidR="001D07CE" w:rsidRPr="001D07CE" w:rsidRDefault="001D07CE" w:rsidP="001D07CE">
            <w:pPr>
              <w:spacing w:after="0"/>
              <w:rPr>
                <w:rFonts w:cs="Calibri"/>
                <w:b/>
              </w:rPr>
            </w:pPr>
            <w:r w:rsidRPr="001D07CE">
              <w:rPr>
                <w:rFonts w:cs="Calibri"/>
                <w:b/>
              </w:rPr>
              <w:t>Uzasadnienie dla środków trwałych, w tym przyjętych sposobów ich pozyskania</w:t>
            </w:r>
          </w:p>
        </w:tc>
      </w:tr>
      <w:tr w:rsidR="001D07CE" w:rsidRPr="001D07CE" w14:paraId="7CEB8BA2" w14:textId="77777777" w:rsidTr="00C03166">
        <w:tc>
          <w:tcPr>
            <w:tcW w:w="1809" w:type="dxa"/>
            <w:shd w:val="clear" w:color="auto" w:fill="D9D9D9"/>
          </w:tcPr>
          <w:p w14:paraId="7DB3D26F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Numer pozycji budżetowej</w:t>
            </w:r>
          </w:p>
        </w:tc>
        <w:tc>
          <w:tcPr>
            <w:tcW w:w="7230" w:type="dxa"/>
          </w:tcPr>
          <w:p w14:paraId="769CEAE0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7 – Zakup sprzętu na potrzeby wyposażenia pomieszczeń</w:t>
            </w:r>
          </w:p>
        </w:tc>
      </w:tr>
      <w:tr w:rsidR="001D07CE" w:rsidRPr="001D07CE" w14:paraId="75BED1D5" w14:textId="77777777" w:rsidTr="00C03166">
        <w:tc>
          <w:tcPr>
            <w:tcW w:w="1809" w:type="dxa"/>
            <w:shd w:val="clear" w:color="auto" w:fill="D9D9D9"/>
          </w:tcPr>
          <w:p w14:paraId="7358B438" w14:textId="77777777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>Uzasadnienie</w:t>
            </w:r>
          </w:p>
        </w:tc>
        <w:tc>
          <w:tcPr>
            <w:tcW w:w="7230" w:type="dxa"/>
          </w:tcPr>
          <w:p w14:paraId="2D06B79D" w14:textId="0425190A" w:rsidR="001D07CE" w:rsidRPr="001D07CE" w:rsidRDefault="001D07CE" w:rsidP="001D07CE">
            <w:pPr>
              <w:spacing w:after="0"/>
              <w:rPr>
                <w:rFonts w:cs="Calibri"/>
              </w:rPr>
            </w:pPr>
            <w:r w:rsidRPr="001D07CE">
              <w:rPr>
                <w:rFonts w:cs="Calibri"/>
              </w:rPr>
              <w:t xml:space="preserve">Biorąc pod uwagę okres realizacji projektu, zakup ww. środków trwałych niezbędnych do realizacji </w:t>
            </w:r>
            <w:r w:rsidR="00B23BC0">
              <w:rPr>
                <w:rFonts w:cs="Calibri"/>
              </w:rPr>
              <w:t xml:space="preserve">spotkań </w:t>
            </w:r>
            <w:r w:rsidR="00B23BC0" w:rsidRPr="0038667F">
              <w:rPr>
                <w:rFonts w:cs="Calibri"/>
              </w:rPr>
              <w:t>z zakresu aktywizacji społecznej</w:t>
            </w:r>
            <w:r w:rsidRPr="0038667F">
              <w:rPr>
                <w:rFonts w:cs="Calibri"/>
              </w:rPr>
              <w:t>,</w:t>
            </w:r>
            <w:r w:rsidRPr="001D07CE">
              <w:rPr>
                <w:rFonts w:cs="Calibri"/>
              </w:rPr>
              <w:t xml:space="preserve"> jest najbardziej efektywnym rozwiązaniem. </w:t>
            </w:r>
          </w:p>
        </w:tc>
      </w:tr>
    </w:tbl>
    <w:p w14:paraId="2F741651" w14:textId="77777777" w:rsidR="005C187F" w:rsidRDefault="005C187F" w:rsidP="001D07CE">
      <w:pPr>
        <w:spacing w:after="0"/>
        <w:rPr>
          <w:rFonts w:cs="Calibri"/>
          <w:lang w:eastAsia="x-none"/>
        </w:rPr>
      </w:pPr>
    </w:p>
    <w:p w14:paraId="3484C361" w14:textId="165AAB8E" w:rsidR="001D07CE" w:rsidRPr="001D07CE" w:rsidRDefault="001D07CE" w:rsidP="001D07CE">
      <w:pPr>
        <w:spacing w:after="0"/>
        <w:rPr>
          <w:rFonts w:cs="Calibri"/>
          <w:lang w:eastAsia="x-none"/>
        </w:rPr>
      </w:pPr>
      <w:r w:rsidRPr="001D07CE">
        <w:rPr>
          <w:rFonts w:cs="Calibri"/>
          <w:lang w:eastAsia="x-none"/>
        </w:rPr>
        <w:t xml:space="preserve">IZ RPO WK-P informuje, iż w ramach kosztów związanych z adaptacją/dostosowywaniem budynków/pomieszczeń za niekwalifikowalne będą uznawane koszty wykraczające poza zakres niezbędny do przystosowania pomieszczeń/budynków do pełnienia określonych funkcji oraz dostosowania do potrzeb osób z niepełnosprawnościami.  </w:t>
      </w:r>
    </w:p>
    <w:p w14:paraId="453FECB4" w14:textId="2ACD33B2" w:rsidR="007E0D58" w:rsidRPr="002B235F" w:rsidRDefault="007E0D58" w:rsidP="001D07CE">
      <w:pPr>
        <w:pStyle w:val="Akapitzlist"/>
        <w:spacing w:before="0" w:after="200" w:line="276" w:lineRule="auto"/>
        <w:ind w:left="360"/>
        <w:contextualSpacing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452CF" w:rsidRPr="002B235F" w14:paraId="07261248" w14:textId="77777777" w:rsidTr="00990630">
        <w:tc>
          <w:tcPr>
            <w:tcW w:w="9212" w:type="dxa"/>
            <w:shd w:val="clear" w:color="auto" w:fill="BFBFBF" w:themeFill="background1" w:themeFillShade="BF"/>
          </w:tcPr>
          <w:bookmarkEnd w:id="0"/>
          <w:p w14:paraId="406894ED" w14:textId="77777777" w:rsidR="006452CF" w:rsidRPr="002B235F" w:rsidRDefault="006452CF" w:rsidP="00254C1C">
            <w:pPr>
              <w:spacing w:line="276" w:lineRule="auto"/>
              <w:rPr>
                <w:rFonts w:cstheme="minorHAnsi"/>
                <w:b/>
              </w:rPr>
            </w:pPr>
            <w:r w:rsidRPr="002B235F">
              <w:rPr>
                <w:rFonts w:cstheme="minorHAnsi"/>
                <w:b/>
              </w:rPr>
              <w:t>Nazwy kosztów w budżecie projektu</w:t>
            </w:r>
          </w:p>
        </w:tc>
      </w:tr>
    </w:tbl>
    <w:p w14:paraId="5A9800E3" w14:textId="77777777" w:rsidR="006452CF" w:rsidRPr="002B235F" w:rsidRDefault="006452CF" w:rsidP="00254C1C">
      <w:pPr>
        <w:spacing w:after="0"/>
        <w:rPr>
          <w:rFonts w:cstheme="minorHAnsi"/>
        </w:rPr>
      </w:pPr>
    </w:p>
    <w:p w14:paraId="1466EF2A" w14:textId="77777777" w:rsidR="006452CF" w:rsidRPr="002B235F" w:rsidRDefault="006452CF" w:rsidP="00254C1C">
      <w:pPr>
        <w:spacing w:after="0"/>
        <w:rPr>
          <w:rFonts w:cstheme="minorHAnsi"/>
        </w:rPr>
      </w:pPr>
      <w:r w:rsidRPr="002B235F">
        <w:rPr>
          <w:rFonts w:cstheme="minorHAnsi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p w14:paraId="4BF1EAE9" w14:textId="77777777" w:rsidR="006B1E5B" w:rsidRPr="002B235F" w:rsidRDefault="006B1E5B" w:rsidP="00254C1C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90C12" w:rsidRPr="002B235F" w14:paraId="623900BF" w14:textId="77777777" w:rsidTr="00790C12">
        <w:tc>
          <w:tcPr>
            <w:tcW w:w="9212" w:type="dxa"/>
            <w:shd w:val="clear" w:color="auto" w:fill="BFBFBF" w:themeFill="background1" w:themeFillShade="BF"/>
          </w:tcPr>
          <w:p w14:paraId="1ACDBF85" w14:textId="77777777" w:rsidR="00790C12" w:rsidRPr="002B235F" w:rsidRDefault="00790C12" w:rsidP="00254C1C">
            <w:pPr>
              <w:spacing w:line="276" w:lineRule="auto"/>
              <w:rPr>
                <w:rFonts w:cstheme="minorHAnsi"/>
                <w:b/>
              </w:rPr>
            </w:pPr>
            <w:r w:rsidRPr="002B235F">
              <w:rPr>
                <w:rFonts w:cstheme="minorHAnsi"/>
                <w:b/>
              </w:rPr>
              <w:t>Wydatki inwestycyjne</w:t>
            </w:r>
          </w:p>
        </w:tc>
      </w:tr>
    </w:tbl>
    <w:p w14:paraId="3FDE7867" w14:textId="77777777" w:rsidR="00790C12" w:rsidRPr="002B235F" w:rsidRDefault="00790C12" w:rsidP="00254C1C">
      <w:pPr>
        <w:rPr>
          <w:rFonts w:cstheme="minorHAnsi"/>
        </w:rPr>
      </w:pPr>
    </w:p>
    <w:p w14:paraId="54BDD92A" w14:textId="778A767B" w:rsidR="00790C12" w:rsidRPr="002B235F" w:rsidRDefault="00142096" w:rsidP="00254C1C">
      <w:pPr>
        <w:contextualSpacing/>
        <w:rPr>
          <w:rFonts w:cstheme="minorHAnsi"/>
        </w:rPr>
      </w:pPr>
      <w:r w:rsidRPr="002B235F">
        <w:rPr>
          <w:rFonts w:cstheme="minorHAnsi"/>
        </w:rPr>
        <w:t xml:space="preserve">1. </w:t>
      </w:r>
      <w:r w:rsidR="00790C12" w:rsidRPr="002B235F">
        <w:rPr>
          <w:rFonts w:cstheme="minorHAnsi"/>
          <w:b/>
        </w:rPr>
        <w:t>W przypadku jednostek spoza sektora finansów publicznych</w:t>
      </w:r>
      <w:r w:rsidR="00790C12" w:rsidRPr="002B235F">
        <w:rPr>
          <w:rFonts w:cstheme="minorHAnsi"/>
        </w:rPr>
        <w:t xml:space="preserve"> </w:t>
      </w:r>
      <w:r w:rsidR="00790C12" w:rsidRPr="002B235F">
        <w:rPr>
          <w:rFonts w:cstheme="minorHAnsi"/>
          <w:b/>
        </w:rPr>
        <w:t>za wydatki inwestycyjne uznaje się wydatki planowane do poniesienia w ramach kategorii cross-</w:t>
      </w:r>
      <w:proofErr w:type="spellStart"/>
      <w:r w:rsidR="00790C12" w:rsidRPr="002B235F">
        <w:rPr>
          <w:rFonts w:cstheme="minorHAnsi"/>
          <w:b/>
        </w:rPr>
        <w:t>financing</w:t>
      </w:r>
      <w:proofErr w:type="spellEnd"/>
      <w:r w:rsidR="00790C12" w:rsidRPr="002B235F">
        <w:rPr>
          <w:rFonts w:cstheme="minorHAnsi"/>
          <w:b/>
        </w:rPr>
        <w:t>, których wartość jednostkowa przekracza kwotę 10.000 zł oraz wydatki na zakup środków trwałych</w:t>
      </w:r>
      <w:r w:rsidR="00790C12" w:rsidRPr="002B235F">
        <w:rPr>
          <w:rStyle w:val="Odwoanieprzypisudolnego"/>
          <w:rFonts w:cstheme="minorHAnsi"/>
          <w:b/>
        </w:rPr>
        <w:footnoteReference w:id="3"/>
      </w:r>
      <w:r w:rsidR="00790C12" w:rsidRPr="002B235F">
        <w:rPr>
          <w:rFonts w:cstheme="minorHAnsi"/>
          <w:b/>
        </w:rPr>
        <w:t xml:space="preserve">, których </w:t>
      </w:r>
      <w:r w:rsidR="00790C12" w:rsidRPr="002B235F">
        <w:rPr>
          <w:rFonts w:cstheme="minorHAnsi"/>
          <w:b/>
        </w:rPr>
        <w:lastRenderedPageBreak/>
        <w:t>wartość jednostkowa przekracza kwotę 10.000 z</w:t>
      </w:r>
      <w:r w:rsidR="004D5E58" w:rsidRPr="002B235F">
        <w:rPr>
          <w:rFonts w:cstheme="minorHAnsi"/>
          <w:b/>
        </w:rPr>
        <w:t>ł</w:t>
      </w:r>
      <w:r w:rsidR="00790C12" w:rsidRPr="002B235F">
        <w:rPr>
          <w:rFonts w:cstheme="minorHAnsi"/>
          <w:b/>
        </w:rPr>
        <w:t xml:space="preserve">. </w:t>
      </w:r>
      <w:r w:rsidR="00790C12" w:rsidRPr="002B235F">
        <w:rPr>
          <w:rFonts w:cstheme="minorHAnsi"/>
        </w:rPr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14:paraId="1241009E" w14:textId="77777777" w:rsidR="007E0D58" w:rsidRPr="002B235F" w:rsidRDefault="007E0D58" w:rsidP="00254C1C">
      <w:pPr>
        <w:contextualSpacing/>
        <w:rPr>
          <w:rFonts w:cstheme="minorHAnsi"/>
        </w:rPr>
      </w:pPr>
    </w:p>
    <w:p w14:paraId="62C17780" w14:textId="77777777" w:rsidR="00790C12" w:rsidRPr="002B235F" w:rsidRDefault="00790C12" w:rsidP="00254C1C">
      <w:pPr>
        <w:rPr>
          <w:rFonts w:cstheme="minorHAnsi"/>
        </w:rPr>
      </w:pPr>
      <w:r w:rsidRPr="002B235F">
        <w:rPr>
          <w:rFonts w:cstheme="minorHAnsi"/>
        </w:rPr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33125BFE" w14:textId="77777777" w:rsidR="00790C12" w:rsidRPr="002B235F" w:rsidRDefault="00790C12" w:rsidP="00254C1C">
      <w:pPr>
        <w:spacing w:after="0"/>
        <w:rPr>
          <w:rFonts w:cstheme="minorHAnsi"/>
        </w:rPr>
      </w:pPr>
      <w:r w:rsidRPr="002B235F">
        <w:rPr>
          <w:rFonts w:cstheme="minorHAnsi"/>
        </w:rPr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2B235F">
        <w:rPr>
          <w:rStyle w:val="Odwoanieprzypisudolnego"/>
          <w:rFonts w:cstheme="minorHAnsi"/>
        </w:rPr>
        <w:footnoteReference w:id="4"/>
      </w:r>
      <w:r w:rsidRPr="002B235F">
        <w:rPr>
          <w:rFonts w:cstheme="minorHAnsi"/>
        </w:rPr>
        <w:t>, wkład własny natomiast w całości przeznaczony będzie na sfinansowanie ponoszonych przez beneficjentów wydatków bieżących.</w:t>
      </w:r>
    </w:p>
    <w:p w14:paraId="625FE7BA" w14:textId="77777777" w:rsidR="00790C12" w:rsidRPr="002B235F" w:rsidRDefault="00790C12" w:rsidP="00254C1C">
      <w:pPr>
        <w:spacing w:after="0"/>
        <w:ind w:left="708"/>
        <w:rPr>
          <w:rFonts w:cstheme="minorHAnsi"/>
        </w:rPr>
      </w:pPr>
    </w:p>
    <w:p w14:paraId="1449BD37" w14:textId="77777777" w:rsidR="00790C12" w:rsidRPr="002B235F" w:rsidRDefault="00142096" w:rsidP="00254C1C">
      <w:pPr>
        <w:contextualSpacing/>
        <w:rPr>
          <w:rFonts w:cstheme="minorHAnsi"/>
        </w:rPr>
      </w:pPr>
      <w:r w:rsidRPr="002B235F">
        <w:rPr>
          <w:rFonts w:cstheme="minorHAnsi"/>
        </w:rPr>
        <w:t xml:space="preserve">2. </w:t>
      </w:r>
      <w:r w:rsidR="00790C12" w:rsidRPr="002B235F">
        <w:rPr>
          <w:rFonts w:cstheme="minorHAnsi"/>
          <w:b/>
        </w:rPr>
        <w:t>W przypadku jednostek sektora finansów publicznych – za wydatki inwestycyjne uznaje się wydatki planowane do poniesienia w ramach kategorii cross-</w:t>
      </w:r>
      <w:proofErr w:type="spellStart"/>
      <w:r w:rsidR="00790C12" w:rsidRPr="002B235F">
        <w:rPr>
          <w:rFonts w:cstheme="minorHAnsi"/>
          <w:b/>
        </w:rPr>
        <w:t>financing</w:t>
      </w:r>
      <w:proofErr w:type="spellEnd"/>
      <w:r w:rsidR="00790C12" w:rsidRPr="002B235F">
        <w:rPr>
          <w:rFonts w:cstheme="minorHAnsi"/>
          <w:b/>
        </w:rPr>
        <w:t>, których wartość jednostkowa przekracza kwotę 10.000 zł oraz wydatki na zakup środków trwałych</w:t>
      </w:r>
      <w:r w:rsidR="00790C12" w:rsidRPr="002B235F">
        <w:rPr>
          <w:rFonts w:cstheme="minorHAnsi"/>
          <w:b/>
          <w:vertAlign w:val="superscript"/>
        </w:rPr>
        <w:t>1</w:t>
      </w:r>
      <w:r w:rsidR="00790C12" w:rsidRPr="002B235F">
        <w:rPr>
          <w:rFonts w:cstheme="minorHAnsi"/>
          <w:b/>
        </w:rPr>
        <w:t>, których wartość jednostkowa przek</w:t>
      </w:r>
      <w:r w:rsidR="004D5E58" w:rsidRPr="002B235F">
        <w:rPr>
          <w:rFonts w:cstheme="minorHAnsi"/>
          <w:b/>
        </w:rPr>
        <w:t xml:space="preserve">racza kwotę 10.000 zł </w:t>
      </w:r>
      <w:r w:rsidR="00790C12" w:rsidRPr="002B235F">
        <w:rPr>
          <w:rFonts w:cstheme="minorHAnsi"/>
          <w:b/>
        </w:rPr>
        <w:t>– o ile polityka rachunkowości danej jednostki bądź inne przepisy nie stanowią inaczej.</w:t>
      </w:r>
      <w:r w:rsidR="00790C12" w:rsidRPr="002B235F">
        <w:rPr>
          <w:rFonts w:cstheme="minorHAnsi"/>
        </w:rPr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6BEC9702" w14:textId="77777777" w:rsidR="007E0D58" w:rsidRPr="002B235F" w:rsidRDefault="007E0D58" w:rsidP="00254C1C">
      <w:pPr>
        <w:contextualSpacing/>
        <w:rPr>
          <w:rFonts w:cstheme="minorHAnsi"/>
        </w:rPr>
      </w:pPr>
    </w:p>
    <w:p w14:paraId="6E6A121F" w14:textId="77777777" w:rsidR="00790C12" w:rsidRPr="002B235F" w:rsidRDefault="00790C12" w:rsidP="00254C1C">
      <w:pPr>
        <w:spacing w:after="0"/>
        <w:rPr>
          <w:rFonts w:cstheme="minorHAnsi"/>
        </w:rPr>
      </w:pPr>
      <w:r w:rsidRPr="002B235F">
        <w:rPr>
          <w:rFonts w:cstheme="minorHAnsi"/>
        </w:rPr>
        <w:t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WK-P w paragrafie 620 klasyfikacji budżetowej.</w:t>
      </w:r>
    </w:p>
    <w:p w14:paraId="76462CC3" w14:textId="77777777" w:rsidR="007E0D58" w:rsidRPr="002B235F" w:rsidRDefault="007E0D58" w:rsidP="00254C1C">
      <w:pPr>
        <w:spacing w:after="0"/>
        <w:rPr>
          <w:rFonts w:cstheme="minorHAnsi"/>
        </w:rPr>
      </w:pPr>
    </w:p>
    <w:p w14:paraId="7D303EA1" w14:textId="6E4729FD" w:rsidR="00790C12" w:rsidRDefault="00790C12" w:rsidP="00254C1C">
      <w:pPr>
        <w:spacing w:after="0"/>
        <w:rPr>
          <w:rFonts w:cstheme="minorHAnsi"/>
        </w:rPr>
      </w:pPr>
      <w:r w:rsidRPr="002B235F">
        <w:rPr>
          <w:rFonts w:cstheme="minorHAnsi"/>
        </w:rPr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p w14:paraId="3B22B33D" w14:textId="77777777" w:rsidR="0038667F" w:rsidRPr="002B235F" w:rsidRDefault="0038667F" w:rsidP="00254C1C">
      <w:pPr>
        <w:spacing w:after="0"/>
        <w:rPr>
          <w:rFonts w:cstheme="minorHAnsi"/>
        </w:rPr>
      </w:pPr>
    </w:p>
    <w:p w14:paraId="3EDFA831" w14:textId="77777777" w:rsidR="00142096" w:rsidRPr="002B235F" w:rsidRDefault="00142096" w:rsidP="00254C1C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42096" w:rsidRPr="002B235F" w14:paraId="42114088" w14:textId="77777777" w:rsidTr="00C11715">
        <w:tc>
          <w:tcPr>
            <w:tcW w:w="9212" w:type="dxa"/>
            <w:shd w:val="clear" w:color="auto" w:fill="BFBFBF" w:themeFill="background1" w:themeFillShade="BF"/>
          </w:tcPr>
          <w:p w14:paraId="25442377" w14:textId="77777777" w:rsidR="00142096" w:rsidRPr="002B235F" w:rsidRDefault="00142096" w:rsidP="00254C1C">
            <w:pPr>
              <w:pStyle w:val="Nagwek3"/>
              <w:spacing w:line="276" w:lineRule="auto"/>
              <w:jc w:val="left"/>
              <w:outlineLvl w:val="2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B235F">
              <w:rPr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t xml:space="preserve">Zakaz podwójnego finansowania  </w:t>
            </w:r>
          </w:p>
        </w:tc>
      </w:tr>
    </w:tbl>
    <w:p w14:paraId="2AE57301" w14:textId="77777777" w:rsidR="00142096" w:rsidRPr="002B235F" w:rsidRDefault="00142096" w:rsidP="00254C1C">
      <w:pPr>
        <w:pStyle w:val="Nagwek3"/>
        <w:jc w:val="left"/>
        <w:rPr>
          <w:rFonts w:asciiTheme="minorHAnsi" w:hAnsiTheme="minorHAnsi" w:cstheme="minorHAnsi"/>
          <w:noProof/>
          <w:sz w:val="22"/>
          <w:szCs w:val="22"/>
        </w:rPr>
      </w:pPr>
    </w:p>
    <w:p w14:paraId="3F79BFC9" w14:textId="77777777" w:rsidR="00142096" w:rsidRPr="002B235F" w:rsidRDefault="00142096" w:rsidP="00254C1C">
      <w:pPr>
        <w:spacing w:after="0"/>
        <w:rPr>
          <w:rFonts w:cstheme="minorHAnsi"/>
        </w:rPr>
      </w:pPr>
      <w:r w:rsidRPr="002B235F">
        <w:rPr>
          <w:rFonts w:cstheme="minorHAnsi"/>
        </w:rPr>
        <w:t>W ramach projektów współfinansowanych ze środków Unii Europejskiej niedozwolone jest podwójne finansowanie wydatków. Podwójne finansowanie oznacza w szczególności:</w:t>
      </w:r>
    </w:p>
    <w:p w14:paraId="3CBF545E" w14:textId="77777777" w:rsidR="00142096" w:rsidRPr="002B235F" w:rsidRDefault="00142096" w:rsidP="00254C1C">
      <w:pPr>
        <w:numPr>
          <w:ilvl w:val="0"/>
          <w:numId w:val="2"/>
        </w:numPr>
        <w:spacing w:after="0"/>
        <w:rPr>
          <w:rFonts w:cstheme="minorHAnsi"/>
        </w:rPr>
      </w:pPr>
      <w:r w:rsidRPr="002B235F">
        <w:rPr>
          <w:rFonts w:cstheme="minorHAnsi"/>
        </w:rPr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13146588" w14:textId="77777777" w:rsidR="00142096" w:rsidRPr="002B235F" w:rsidRDefault="00142096" w:rsidP="00254C1C">
      <w:pPr>
        <w:numPr>
          <w:ilvl w:val="0"/>
          <w:numId w:val="2"/>
        </w:numPr>
        <w:spacing w:after="0"/>
        <w:rPr>
          <w:rFonts w:cstheme="minorHAnsi"/>
        </w:rPr>
      </w:pPr>
      <w:r w:rsidRPr="002B235F">
        <w:rPr>
          <w:rFonts w:cstheme="minorHAnsi"/>
        </w:rP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1087BB8C" w14:textId="77777777" w:rsidR="00142096" w:rsidRPr="002B235F" w:rsidRDefault="00142096" w:rsidP="00254C1C">
      <w:pPr>
        <w:numPr>
          <w:ilvl w:val="0"/>
          <w:numId w:val="2"/>
        </w:numPr>
        <w:spacing w:after="0"/>
        <w:rPr>
          <w:rFonts w:cstheme="minorHAnsi"/>
        </w:rPr>
      </w:pPr>
      <w:r w:rsidRPr="002B235F">
        <w:rPr>
          <w:rFonts w:cstheme="minorHAnsi"/>
        </w:rP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4232929F" w14:textId="77777777" w:rsidR="00142096" w:rsidRPr="002B235F" w:rsidRDefault="00142096" w:rsidP="00254C1C">
      <w:pPr>
        <w:numPr>
          <w:ilvl w:val="0"/>
          <w:numId w:val="2"/>
        </w:numPr>
        <w:spacing w:after="0"/>
        <w:rPr>
          <w:rFonts w:cstheme="minorHAnsi"/>
        </w:rPr>
      </w:pPr>
      <w:r w:rsidRPr="002B235F">
        <w:rPr>
          <w:rFonts w:cstheme="minorHAnsi"/>
        </w:rPr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p w14:paraId="292FB069" w14:textId="77777777" w:rsidR="00142096" w:rsidRPr="002B235F" w:rsidRDefault="00142096" w:rsidP="00254C1C">
      <w:pPr>
        <w:spacing w:after="0"/>
        <w:ind w:left="720"/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2"/>
      </w:tblGrid>
      <w:tr w:rsidR="00142096" w:rsidRPr="002B235F" w14:paraId="0A56B14A" w14:textId="77777777" w:rsidTr="00C11715">
        <w:trPr>
          <w:trHeight w:val="1675"/>
        </w:trPr>
        <w:tc>
          <w:tcPr>
            <w:tcW w:w="9755" w:type="dxa"/>
            <w:shd w:val="clear" w:color="auto" w:fill="F2F2F2"/>
          </w:tcPr>
          <w:p w14:paraId="258F6D09" w14:textId="77777777" w:rsidR="00142096" w:rsidRPr="002B235F" w:rsidRDefault="00142096" w:rsidP="00254C1C">
            <w:pPr>
              <w:spacing w:after="0"/>
              <w:rPr>
                <w:rFonts w:cstheme="minorHAnsi"/>
              </w:rPr>
            </w:pPr>
            <w:r w:rsidRPr="002B235F">
              <w:rPr>
                <w:rFonts w:cstheme="minorHAnsi"/>
                <w:b/>
              </w:rPr>
              <w:t>UWAGA!</w:t>
            </w:r>
            <w:r w:rsidRPr="002B235F">
              <w:rPr>
                <w:rFonts w:cstheme="minorHAnsi"/>
              </w:rPr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3ADC0E25" w14:textId="77777777" w:rsidR="00657967" w:rsidRPr="002B235F" w:rsidRDefault="00657967" w:rsidP="00254C1C">
      <w:pPr>
        <w:spacing w:after="0"/>
        <w:ind w:left="720"/>
        <w:rPr>
          <w:rFonts w:cstheme="minorHAnsi"/>
        </w:rPr>
      </w:pPr>
    </w:p>
    <w:p w14:paraId="27176601" w14:textId="77777777" w:rsidR="00142096" w:rsidRPr="00CB0AEA" w:rsidRDefault="00142096" w:rsidP="004C1142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2B235F">
        <w:rPr>
          <w:rFonts w:cstheme="minorHAnsi"/>
        </w:rPr>
        <w:t>zrefundowanie wydatku poniesionego przez leasingodawcę na zakup przedmiotu leasingu w ramach leasingu finansowego, a następnie zrefundowanie rat opłacanych przez beneficjenta w związku z </w:t>
      </w:r>
      <w:r w:rsidRPr="00CB0AEA">
        <w:rPr>
          <w:rFonts w:cstheme="minorHAnsi"/>
        </w:rPr>
        <w:t>leasingiem tego przedmiotu,</w:t>
      </w:r>
    </w:p>
    <w:p w14:paraId="47B0EF8E" w14:textId="77777777" w:rsidR="00142096" w:rsidRPr="00CB0AEA" w:rsidRDefault="00142096" w:rsidP="004C1142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CB0AEA">
        <w:rPr>
          <w:rFonts w:cstheme="minorHAnsi"/>
        </w:rPr>
        <w:t>sytuacja, w której środki na prefinansowanie wkładu unijnego zostały pozyskane w formie kredytu lub pożyczki, które następnie zostały umorzone,</w:t>
      </w:r>
    </w:p>
    <w:p w14:paraId="69E30774" w14:textId="77777777" w:rsidR="00142096" w:rsidRPr="00CB0AEA" w:rsidRDefault="00142096" w:rsidP="004C1142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CB0AEA">
        <w:rPr>
          <w:rFonts w:cstheme="minorHAnsi"/>
        </w:rPr>
        <w:t>objęcie kosztów kwalifikowalnych projektu jednocześnie wsparciem pożyczkowym i gwarancyjnym,</w:t>
      </w:r>
    </w:p>
    <w:p w14:paraId="45A1EA6C" w14:textId="46A70FA6" w:rsidR="00142096" w:rsidRPr="004C1142" w:rsidRDefault="00142096" w:rsidP="004C1142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rPr>
          <w:rFonts w:cs="Calibri"/>
          <w:lang w:eastAsia="x-none"/>
        </w:rPr>
      </w:pPr>
      <w:r w:rsidRPr="00CB0AEA">
        <w:rPr>
          <w:rFonts w:cstheme="minorHAnsi"/>
        </w:rPr>
        <w:t>zakup używanego środka trwałego, który w ciągu 7 poprzednich lat (10 lat dla nieruchomości) był współfinansowany ze środków Unii Europejskiej lub/oraz dotacji z krajowych środków publicznych</w:t>
      </w:r>
      <w:r w:rsidR="00CB0AEA" w:rsidRPr="00CB0AEA">
        <w:rPr>
          <w:rFonts w:cstheme="minorHAnsi"/>
        </w:rPr>
        <w:t xml:space="preserve"> </w:t>
      </w:r>
      <w:r w:rsidR="00CB0AEA" w:rsidRPr="004C1142">
        <w:rPr>
          <w:rFonts w:cs="Calibri"/>
          <w:lang w:eastAsia="x-none"/>
        </w:rPr>
        <w:t>(7 lub 10 lat liczone jest w miesiącach kalendarzowych od daty rozliczenia wydatku, np. 7 lat od 9 listopada 2014 r. to okres od 9 listopada 2014 r. do 9 listopada 2021 r.),</w:t>
      </w:r>
    </w:p>
    <w:p w14:paraId="6FAAFFAF" w14:textId="77777777" w:rsidR="00142096" w:rsidRPr="00CB0AEA" w:rsidRDefault="00142096" w:rsidP="004C1142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CB0AEA">
        <w:rPr>
          <w:rFonts w:cstheme="minorHAnsi"/>
        </w:rPr>
        <w:t>rozliczenie tego samego wydatku w kosztach pośrednich oraz kosztach bezpośrednich projektu.</w:t>
      </w:r>
    </w:p>
    <w:p w14:paraId="67565B25" w14:textId="77777777" w:rsidR="002B235F" w:rsidRDefault="002B235F" w:rsidP="00254C1C">
      <w:pPr>
        <w:spacing w:after="0"/>
        <w:rPr>
          <w:rFonts w:cstheme="minorHAnsi"/>
        </w:rPr>
      </w:pPr>
    </w:p>
    <w:p w14:paraId="77C03D4C" w14:textId="77777777" w:rsidR="00B23BC0" w:rsidRPr="00B23BC0" w:rsidRDefault="00B23BC0" w:rsidP="00B23BC0">
      <w:pPr>
        <w:rPr>
          <w:rFonts w:cstheme="minorHAnsi"/>
        </w:rPr>
      </w:pPr>
    </w:p>
    <w:p w14:paraId="03B94718" w14:textId="77777777" w:rsidR="00B23BC0" w:rsidRPr="00B23BC0" w:rsidRDefault="00B23BC0" w:rsidP="00B23BC0">
      <w:pPr>
        <w:rPr>
          <w:rFonts w:cstheme="minorHAnsi"/>
        </w:rPr>
      </w:pPr>
    </w:p>
    <w:p w14:paraId="012E43EE" w14:textId="77777777" w:rsidR="00B23BC0" w:rsidRPr="00B23BC0" w:rsidRDefault="00B23BC0" w:rsidP="00B23BC0">
      <w:pPr>
        <w:rPr>
          <w:rFonts w:cstheme="minorHAnsi"/>
        </w:rPr>
      </w:pPr>
    </w:p>
    <w:sectPr w:rsidR="00B23BC0" w:rsidRPr="00B23BC0" w:rsidSect="00B23BC0">
      <w:headerReference w:type="first" r:id="rId8"/>
      <w:pgSz w:w="11906" w:h="16838" w:code="9"/>
      <w:pgMar w:top="1418" w:right="1418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131AD" w14:textId="77777777" w:rsidR="00A02E4E" w:rsidRPr="00A449D2" w:rsidRDefault="00A02E4E" w:rsidP="00A449D2">
      <w:pPr>
        <w:spacing w:after="0" w:line="240" w:lineRule="auto"/>
      </w:pPr>
      <w:r>
        <w:separator/>
      </w:r>
    </w:p>
  </w:endnote>
  <w:endnote w:type="continuationSeparator" w:id="0">
    <w:p w14:paraId="4B045D69" w14:textId="77777777" w:rsidR="00A02E4E" w:rsidRPr="00A449D2" w:rsidRDefault="00A02E4E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6CC53" w14:textId="77777777" w:rsidR="00A02E4E" w:rsidRPr="00A449D2" w:rsidRDefault="00A02E4E" w:rsidP="00A449D2">
      <w:pPr>
        <w:spacing w:after="0" w:line="240" w:lineRule="auto"/>
      </w:pPr>
      <w:r>
        <w:separator/>
      </w:r>
    </w:p>
  </w:footnote>
  <w:footnote w:type="continuationSeparator" w:id="0">
    <w:p w14:paraId="567D8DC5" w14:textId="77777777" w:rsidR="00A02E4E" w:rsidRPr="00A449D2" w:rsidRDefault="00A02E4E" w:rsidP="00A449D2">
      <w:pPr>
        <w:spacing w:after="0" w:line="240" w:lineRule="auto"/>
      </w:pPr>
      <w:r>
        <w:continuationSeparator/>
      </w:r>
    </w:p>
  </w:footnote>
  <w:footnote w:id="1">
    <w:p w14:paraId="260B2500" w14:textId="5273143C" w:rsidR="001D63E9" w:rsidRDefault="001D63E9">
      <w:pPr>
        <w:pStyle w:val="Tekstprzypisudolnego"/>
      </w:pPr>
      <w:r>
        <w:rPr>
          <w:rStyle w:val="Odwoanieprzypisudolnego"/>
        </w:rPr>
        <w:footnoteRef/>
      </w:r>
      <w:r>
        <w:t xml:space="preserve"> Wysokość stypendium stażowego oraz wysokość składek obowiązuje na dzień ogłoszenia naboru i uzależniona jest od</w:t>
      </w:r>
      <w:r w:rsidRPr="001D63E9">
        <w:t xml:space="preserve"> wartości netto minimalnego wynagrodzenia za pracę</w:t>
      </w:r>
      <w:r>
        <w:t xml:space="preserve"> w okresie realizacji projektu.</w:t>
      </w:r>
    </w:p>
  </w:footnote>
  <w:footnote w:id="2">
    <w:p w14:paraId="52CB8A4D" w14:textId="5AF94094" w:rsidR="001D63E9" w:rsidRDefault="001D63E9" w:rsidP="001D63E9">
      <w:pPr>
        <w:pStyle w:val="Tekstprzypisudolnego"/>
      </w:pPr>
      <w:r>
        <w:rPr>
          <w:rStyle w:val="Odwoanieprzypisudolnego"/>
        </w:rPr>
        <w:footnoteRef/>
      </w:r>
      <w:r>
        <w:t xml:space="preserve"> Wysokość stypendium szkoleniowego oraz wysokość składek</w:t>
      </w:r>
      <w:r w:rsidRPr="001D63E9">
        <w:t xml:space="preserve"> obowiązuje na dzień ogłoszenia naboru</w:t>
      </w:r>
      <w:r w:rsidR="00E07573">
        <w:t xml:space="preserve"> </w:t>
      </w:r>
      <w:r w:rsidR="00E07573">
        <w:br/>
      </w:r>
      <w:r w:rsidRPr="001D63E9">
        <w:t xml:space="preserve"> i uzależniona jest od wartości </w:t>
      </w:r>
      <w:r>
        <w:t>zasiłku, o którym mowa w art. 72 ust. 1 pkt 1 ustawy o promocji zatrudnienia i instytucjach rynku pracy.</w:t>
      </w:r>
    </w:p>
  </w:footnote>
  <w:footnote w:id="3">
    <w:p w14:paraId="502D8C03" w14:textId="77777777" w:rsidR="00790C12" w:rsidRPr="00790C12" w:rsidRDefault="00790C12" w:rsidP="00575694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września 1994 r. o rachunkowości,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4">
    <w:p w14:paraId="7E613A3C" w14:textId="77777777" w:rsidR="00790C12" w:rsidRPr="00695713" w:rsidRDefault="00790C12" w:rsidP="00575694">
      <w:pPr>
        <w:pStyle w:val="Tekstprzypisudolnego"/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5823" w14:textId="77777777" w:rsidR="005E010C" w:rsidRDefault="005E010C">
    <w:pPr>
      <w:pStyle w:val="Nagwek"/>
    </w:pPr>
    <w:r w:rsidRPr="003F48CD">
      <w:rPr>
        <w:noProof/>
        <w:lang w:eastAsia="pl-PL"/>
      </w:rPr>
      <w:drawing>
        <wp:inline distT="0" distB="0" distL="0" distR="0" wp14:anchorId="0849E258" wp14:editId="157CF4AE">
          <wp:extent cx="5991225" cy="817245"/>
          <wp:effectExtent l="0" t="0" r="9525" b="1905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2D3"/>
    <w:multiLevelType w:val="hybridMultilevel"/>
    <w:tmpl w:val="BE205F0E"/>
    <w:lvl w:ilvl="0" w:tplc="0FB640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10B10F8"/>
    <w:multiLevelType w:val="multilevel"/>
    <w:tmpl w:val="8B548D5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86D39C9"/>
    <w:multiLevelType w:val="hybridMultilevel"/>
    <w:tmpl w:val="6AF0D86A"/>
    <w:lvl w:ilvl="0" w:tplc="D4A2D2E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AC19BC"/>
    <w:multiLevelType w:val="hybridMultilevel"/>
    <w:tmpl w:val="071AE1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1365"/>
    <w:multiLevelType w:val="hybridMultilevel"/>
    <w:tmpl w:val="BB5E7A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73507"/>
    <w:multiLevelType w:val="hybridMultilevel"/>
    <w:tmpl w:val="05BAE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61EC3"/>
    <w:multiLevelType w:val="hybridMultilevel"/>
    <w:tmpl w:val="418CEAC8"/>
    <w:lvl w:ilvl="0" w:tplc="53A41F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5340F"/>
    <w:multiLevelType w:val="hybridMultilevel"/>
    <w:tmpl w:val="C87EFE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E7"/>
    <w:rsid w:val="000020FD"/>
    <w:rsid w:val="000234B2"/>
    <w:rsid w:val="00024D90"/>
    <w:rsid w:val="00026E9B"/>
    <w:rsid w:val="00030DF3"/>
    <w:rsid w:val="000426A4"/>
    <w:rsid w:val="00051E69"/>
    <w:rsid w:val="00061B95"/>
    <w:rsid w:val="00063790"/>
    <w:rsid w:val="00066EAF"/>
    <w:rsid w:val="000706E9"/>
    <w:rsid w:val="000728AD"/>
    <w:rsid w:val="000851EC"/>
    <w:rsid w:val="000B430D"/>
    <w:rsid w:val="000B5C15"/>
    <w:rsid w:val="000C32AA"/>
    <w:rsid w:val="000D063A"/>
    <w:rsid w:val="000E003F"/>
    <w:rsid w:val="000E09E1"/>
    <w:rsid w:val="000E50A3"/>
    <w:rsid w:val="000E7CF2"/>
    <w:rsid w:val="000F228E"/>
    <w:rsid w:val="000F77E7"/>
    <w:rsid w:val="00101B1E"/>
    <w:rsid w:val="00107343"/>
    <w:rsid w:val="00113AF7"/>
    <w:rsid w:val="0011616B"/>
    <w:rsid w:val="001250C4"/>
    <w:rsid w:val="00126AA3"/>
    <w:rsid w:val="001329B9"/>
    <w:rsid w:val="00135DEE"/>
    <w:rsid w:val="00136C07"/>
    <w:rsid w:val="001378B1"/>
    <w:rsid w:val="00142096"/>
    <w:rsid w:val="001457B7"/>
    <w:rsid w:val="00146641"/>
    <w:rsid w:val="001552BC"/>
    <w:rsid w:val="001663DD"/>
    <w:rsid w:val="0018248C"/>
    <w:rsid w:val="00186DC3"/>
    <w:rsid w:val="00187D0D"/>
    <w:rsid w:val="00194B9B"/>
    <w:rsid w:val="001B2E2E"/>
    <w:rsid w:val="001B5959"/>
    <w:rsid w:val="001C0525"/>
    <w:rsid w:val="001C645B"/>
    <w:rsid w:val="001C7AD2"/>
    <w:rsid w:val="001D07CE"/>
    <w:rsid w:val="001D63E9"/>
    <w:rsid w:val="001D741C"/>
    <w:rsid w:val="001E2AA8"/>
    <w:rsid w:val="001F0233"/>
    <w:rsid w:val="001F08D9"/>
    <w:rsid w:val="001F2983"/>
    <w:rsid w:val="001F4246"/>
    <w:rsid w:val="001F518B"/>
    <w:rsid w:val="00205C3D"/>
    <w:rsid w:val="0021033D"/>
    <w:rsid w:val="00222567"/>
    <w:rsid w:val="00227784"/>
    <w:rsid w:val="00231098"/>
    <w:rsid w:val="0024013C"/>
    <w:rsid w:val="00250DB2"/>
    <w:rsid w:val="00254C1C"/>
    <w:rsid w:val="00261415"/>
    <w:rsid w:val="00276235"/>
    <w:rsid w:val="00277447"/>
    <w:rsid w:val="00284C9C"/>
    <w:rsid w:val="00284CE0"/>
    <w:rsid w:val="002935D4"/>
    <w:rsid w:val="00293DCB"/>
    <w:rsid w:val="002B235F"/>
    <w:rsid w:val="002B2A37"/>
    <w:rsid w:val="002B2FF5"/>
    <w:rsid w:val="002E3347"/>
    <w:rsid w:val="002E6C6B"/>
    <w:rsid w:val="003007C0"/>
    <w:rsid w:val="00302BDD"/>
    <w:rsid w:val="00312F1A"/>
    <w:rsid w:val="0031425A"/>
    <w:rsid w:val="00316BCF"/>
    <w:rsid w:val="00317BB1"/>
    <w:rsid w:val="00320698"/>
    <w:rsid w:val="00326E37"/>
    <w:rsid w:val="00330C45"/>
    <w:rsid w:val="003324D8"/>
    <w:rsid w:val="00337CC7"/>
    <w:rsid w:val="00340ADB"/>
    <w:rsid w:val="00344FC2"/>
    <w:rsid w:val="00347547"/>
    <w:rsid w:val="00360451"/>
    <w:rsid w:val="003701ED"/>
    <w:rsid w:val="003739E7"/>
    <w:rsid w:val="0037725C"/>
    <w:rsid w:val="00380438"/>
    <w:rsid w:val="0038667F"/>
    <w:rsid w:val="003A6FD8"/>
    <w:rsid w:val="003C7367"/>
    <w:rsid w:val="003D6FC7"/>
    <w:rsid w:val="003E370F"/>
    <w:rsid w:val="003F102F"/>
    <w:rsid w:val="003F46B1"/>
    <w:rsid w:val="003F48CD"/>
    <w:rsid w:val="003F4B5A"/>
    <w:rsid w:val="003F7936"/>
    <w:rsid w:val="00400EE6"/>
    <w:rsid w:val="00415F82"/>
    <w:rsid w:val="004202CE"/>
    <w:rsid w:val="00423843"/>
    <w:rsid w:val="00430D91"/>
    <w:rsid w:val="00437D2C"/>
    <w:rsid w:val="00440B40"/>
    <w:rsid w:val="004463B3"/>
    <w:rsid w:val="00447028"/>
    <w:rsid w:val="00451B06"/>
    <w:rsid w:val="004718E5"/>
    <w:rsid w:val="004744C9"/>
    <w:rsid w:val="00481DCC"/>
    <w:rsid w:val="004829D4"/>
    <w:rsid w:val="0049405B"/>
    <w:rsid w:val="004A2FAC"/>
    <w:rsid w:val="004B5F4D"/>
    <w:rsid w:val="004C1142"/>
    <w:rsid w:val="004C5CCF"/>
    <w:rsid w:val="004C7E68"/>
    <w:rsid w:val="004D39B1"/>
    <w:rsid w:val="004D4D39"/>
    <w:rsid w:val="004D5E58"/>
    <w:rsid w:val="004E4178"/>
    <w:rsid w:val="004E69E3"/>
    <w:rsid w:val="00512245"/>
    <w:rsid w:val="0052415F"/>
    <w:rsid w:val="00534339"/>
    <w:rsid w:val="005478C4"/>
    <w:rsid w:val="00552C8F"/>
    <w:rsid w:val="00554512"/>
    <w:rsid w:val="00555B63"/>
    <w:rsid w:val="00575694"/>
    <w:rsid w:val="00577294"/>
    <w:rsid w:val="00582C3B"/>
    <w:rsid w:val="005A7498"/>
    <w:rsid w:val="005B5B5F"/>
    <w:rsid w:val="005C007F"/>
    <w:rsid w:val="005C148A"/>
    <w:rsid w:val="005C187F"/>
    <w:rsid w:val="005C6A20"/>
    <w:rsid w:val="005D1BE0"/>
    <w:rsid w:val="005D65CA"/>
    <w:rsid w:val="005D7716"/>
    <w:rsid w:val="005E0052"/>
    <w:rsid w:val="005E010C"/>
    <w:rsid w:val="005E30F2"/>
    <w:rsid w:val="005E4044"/>
    <w:rsid w:val="005E4F96"/>
    <w:rsid w:val="005F5841"/>
    <w:rsid w:val="00611C64"/>
    <w:rsid w:val="00636C2C"/>
    <w:rsid w:val="006425F8"/>
    <w:rsid w:val="006452CF"/>
    <w:rsid w:val="00646734"/>
    <w:rsid w:val="00647A5C"/>
    <w:rsid w:val="00647DD4"/>
    <w:rsid w:val="00651ACB"/>
    <w:rsid w:val="00656483"/>
    <w:rsid w:val="00657967"/>
    <w:rsid w:val="0066584D"/>
    <w:rsid w:val="00667C73"/>
    <w:rsid w:val="006908F6"/>
    <w:rsid w:val="0069292A"/>
    <w:rsid w:val="006A4596"/>
    <w:rsid w:val="006A6D42"/>
    <w:rsid w:val="006B1686"/>
    <w:rsid w:val="006B1E5B"/>
    <w:rsid w:val="006B7152"/>
    <w:rsid w:val="006B764E"/>
    <w:rsid w:val="006C1CDA"/>
    <w:rsid w:val="006C721E"/>
    <w:rsid w:val="006D20E2"/>
    <w:rsid w:val="006D39B5"/>
    <w:rsid w:val="006E29A5"/>
    <w:rsid w:val="006E55B1"/>
    <w:rsid w:val="006E789B"/>
    <w:rsid w:val="006F6AFC"/>
    <w:rsid w:val="00704A09"/>
    <w:rsid w:val="007115BD"/>
    <w:rsid w:val="00712236"/>
    <w:rsid w:val="00717C32"/>
    <w:rsid w:val="00720279"/>
    <w:rsid w:val="0072338C"/>
    <w:rsid w:val="00743F00"/>
    <w:rsid w:val="00755573"/>
    <w:rsid w:val="00757796"/>
    <w:rsid w:val="00761823"/>
    <w:rsid w:val="00764376"/>
    <w:rsid w:val="00764F4C"/>
    <w:rsid w:val="007655B7"/>
    <w:rsid w:val="007857FB"/>
    <w:rsid w:val="00790C12"/>
    <w:rsid w:val="00790D95"/>
    <w:rsid w:val="0079219E"/>
    <w:rsid w:val="0079505F"/>
    <w:rsid w:val="007B1EA0"/>
    <w:rsid w:val="007B4F28"/>
    <w:rsid w:val="007B53A9"/>
    <w:rsid w:val="007C4019"/>
    <w:rsid w:val="007C4DF2"/>
    <w:rsid w:val="007C5A4C"/>
    <w:rsid w:val="007D52C8"/>
    <w:rsid w:val="007D708A"/>
    <w:rsid w:val="007E0D58"/>
    <w:rsid w:val="007F00AC"/>
    <w:rsid w:val="007F1A33"/>
    <w:rsid w:val="007F51A0"/>
    <w:rsid w:val="0080082E"/>
    <w:rsid w:val="00832770"/>
    <w:rsid w:val="00833D78"/>
    <w:rsid w:val="00836AF9"/>
    <w:rsid w:val="00854309"/>
    <w:rsid w:val="00864CCF"/>
    <w:rsid w:val="00882A59"/>
    <w:rsid w:val="00894657"/>
    <w:rsid w:val="008974D1"/>
    <w:rsid w:val="008A0FB1"/>
    <w:rsid w:val="008A13A2"/>
    <w:rsid w:val="008B7F80"/>
    <w:rsid w:val="008C1A4D"/>
    <w:rsid w:val="008D2047"/>
    <w:rsid w:val="008D667A"/>
    <w:rsid w:val="008E4ADA"/>
    <w:rsid w:val="008E519C"/>
    <w:rsid w:val="008F5344"/>
    <w:rsid w:val="00926F59"/>
    <w:rsid w:val="00927DE0"/>
    <w:rsid w:val="00942450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5DB0"/>
    <w:rsid w:val="00996E39"/>
    <w:rsid w:val="009B7085"/>
    <w:rsid w:val="009D4D3C"/>
    <w:rsid w:val="009D5A03"/>
    <w:rsid w:val="009E2F19"/>
    <w:rsid w:val="009E4220"/>
    <w:rsid w:val="009F4CA4"/>
    <w:rsid w:val="00A02E4E"/>
    <w:rsid w:val="00A151F6"/>
    <w:rsid w:val="00A21522"/>
    <w:rsid w:val="00A215A1"/>
    <w:rsid w:val="00A26A9E"/>
    <w:rsid w:val="00A27CA6"/>
    <w:rsid w:val="00A35ACC"/>
    <w:rsid w:val="00A4060A"/>
    <w:rsid w:val="00A40CD2"/>
    <w:rsid w:val="00A449D2"/>
    <w:rsid w:val="00A51F10"/>
    <w:rsid w:val="00A51F26"/>
    <w:rsid w:val="00A63DE4"/>
    <w:rsid w:val="00A742C2"/>
    <w:rsid w:val="00A77B9D"/>
    <w:rsid w:val="00A945FF"/>
    <w:rsid w:val="00A96B87"/>
    <w:rsid w:val="00AA1BB1"/>
    <w:rsid w:val="00AA63D8"/>
    <w:rsid w:val="00AB1EDC"/>
    <w:rsid w:val="00AB4A3E"/>
    <w:rsid w:val="00AC0B2F"/>
    <w:rsid w:val="00AD0FE5"/>
    <w:rsid w:val="00AD1845"/>
    <w:rsid w:val="00AD1A6C"/>
    <w:rsid w:val="00B04F53"/>
    <w:rsid w:val="00B07242"/>
    <w:rsid w:val="00B23BC0"/>
    <w:rsid w:val="00B27F6F"/>
    <w:rsid w:val="00B30923"/>
    <w:rsid w:val="00B32E65"/>
    <w:rsid w:val="00B33039"/>
    <w:rsid w:val="00B35EE7"/>
    <w:rsid w:val="00B41730"/>
    <w:rsid w:val="00B50B9A"/>
    <w:rsid w:val="00B54157"/>
    <w:rsid w:val="00B578F6"/>
    <w:rsid w:val="00B6299A"/>
    <w:rsid w:val="00B62E6D"/>
    <w:rsid w:val="00B73D9C"/>
    <w:rsid w:val="00B8090E"/>
    <w:rsid w:val="00B912C3"/>
    <w:rsid w:val="00B96E26"/>
    <w:rsid w:val="00BA7C53"/>
    <w:rsid w:val="00BB7AED"/>
    <w:rsid w:val="00BC1171"/>
    <w:rsid w:val="00BC536D"/>
    <w:rsid w:val="00BD61DA"/>
    <w:rsid w:val="00C072A6"/>
    <w:rsid w:val="00C07D73"/>
    <w:rsid w:val="00C1292F"/>
    <w:rsid w:val="00C154E8"/>
    <w:rsid w:val="00C2245F"/>
    <w:rsid w:val="00C22CA5"/>
    <w:rsid w:val="00C30ED4"/>
    <w:rsid w:val="00C32BFF"/>
    <w:rsid w:val="00C32DCC"/>
    <w:rsid w:val="00C35FAC"/>
    <w:rsid w:val="00C55A7A"/>
    <w:rsid w:val="00C55CE4"/>
    <w:rsid w:val="00C64746"/>
    <w:rsid w:val="00C7029D"/>
    <w:rsid w:val="00C70D2D"/>
    <w:rsid w:val="00C94DFF"/>
    <w:rsid w:val="00C953F9"/>
    <w:rsid w:val="00CB0AEA"/>
    <w:rsid w:val="00CB32ED"/>
    <w:rsid w:val="00CC1DAD"/>
    <w:rsid w:val="00CC3D0C"/>
    <w:rsid w:val="00CD29AC"/>
    <w:rsid w:val="00CD43F1"/>
    <w:rsid w:val="00D01249"/>
    <w:rsid w:val="00D02FEF"/>
    <w:rsid w:val="00D12B39"/>
    <w:rsid w:val="00D16DE1"/>
    <w:rsid w:val="00D2105F"/>
    <w:rsid w:val="00D35AEC"/>
    <w:rsid w:val="00D3622F"/>
    <w:rsid w:val="00D50047"/>
    <w:rsid w:val="00D52168"/>
    <w:rsid w:val="00D55E1F"/>
    <w:rsid w:val="00D64979"/>
    <w:rsid w:val="00D6604D"/>
    <w:rsid w:val="00D66A73"/>
    <w:rsid w:val="00D81C36"/>
    <w:rsid w:val="00D944E4"/>
    <w:rsid w:val="00D96410"/>
    <w:rsid w:val="00DA1462"/>
    <w:rsid w:val="00DA3053"/>
    <w:rsid w:val="00DD5AD2"/>
    <w:rsid w:val="00DD738D"/>
    <w:rsid w:val="00DE086C"/>
    <w:rsid w:val="00DE54EC"/>
    <w:rsid w:val="00E02C7C"/>
    <w:rsid w:val="00E07573"/>
    <w:rsid w:val="00E07984"/>
    <w:rsid w:val="00E31F1E"/>
    <w:rsid w:val="00E32BAB"/>
    <w:rsid w:val="00E4170A"/>
    <w:rsid w:val="00E4630A"/>
    <w:rsid w:val="00E5287E"/>
    <w:rsid w:val="00E701DA"/>
    <w:rsid w:val="00E774D0"/>
    <w:rsid w:val="00E92BC5"/>
    <w:rsid w:val="00EB032C"/>
    <w:rsid w:val="00EB1203"/>
    <w:rsid w:val="00EB1FB1"/>
    <w:rsid w:val="00EC28DB"/>
    <w:rsid w:val="00ED12FD"/>
    <w:rsid w:val="00ED6F64"/>
    <w:rsid w:val="00ED73D7"/>
    <w:rsid w:val="00EE3BC9"/>
    <w:rsid w:val="00EF4346"/>
    <w:rsid w:val="00F056C9"/>
    <w:rsid w:val="00F20DE1"/>
    <w:rsid w:val="00F2591B"/>
    <w:rsid w:val="00F36959"/>
    <w:rsid w:val="00F37DC8"/>
    <w:rsid w:val="00F4165D"/>
    <w:rsid w:val="00F51CCE"/>
    <w:rsid w:val="00F95A14"/>
    <w:rsid w:val="00FA57D1"/>
    <w:rsid w:val="00FA5BDF"/>
    <w:rsid w:val="00FB1BB7"/>
    <w:rsid w:val="00FC27B5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163709"/>
  <w15:docId w15:val="{EEF87F71-7154-4E20-906D-64ED974C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DCB"/>
  </w:style>
  <w:style w:type="paragraph" w:styleId="Nagwek1">
    <w:name w:val="heading 1"/>
    <w:basedOn w:val="Normalny"/>
    <w:next w:val="Normalny"/>
    <w:link w:val="Nagwek1Znak"/>
    <w:uiPriority w:val="99"/>
    <w:qFormat/>
    <w:rsid w:val="001D07CE"/>
    <w:pPr>
      <w:keepNext/>
      <w:spacing w:before="240" w:after="60"/>
      <w:jc w:val="both"/>
      <w:outlineLvl w:val="0"/>
    </w:pPr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</w:rPr>
  </w:style>
  <w:style w:type="character" w:styleId="Odwoanieprzypisudolnego">
    <w:name w:val="footnote reference"/>
    <w:unhideWhenUsed/>
    <w:rsid w:val="00790C12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unhideWhenUsed/>
    <w:rsid w:val="00790C12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790C12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1D07CE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D707E-4E50-4B0F-A510-D8C6E148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2717</Words>
  <Characters>16308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Dorota Burnat</cp:lastModifiedBy>
  <cp:revision>13</cp:revision>
  <cp:lastPrinted>2018-04-17T09:35:00Z</cp:lastPrinted>
  <dcterms:created xsi:type="dcterms:W3CDTF">2021-01-20T10:15:00Z</dcterms:created>
  <dcterms:modified xsi:type="dcterms:W3CDTF">2021-10-19T10:39:00Z</dcterms:modified>
</cp:coreProperties>
</file>