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067A6" w14:textId="3AE9119F" w:rsidR="007D3CC6" w:rsidRPr="00AB5A4D" w:rsidRDefault="007D3CC6" w:rsidP="00AB5A4D">
      <w:pPr>
        <w:pStyle w:val="Default"/>
        <w:spacing w:before="120" w:after="120" w:line="276" w:lineRule="auto"/>
        <w:rPr>
          <w:rFonts w:asciiTheme="minorHAnsi" w:hAnsiTheme="minorHAnsi" w:cstheme="minorHAnsi"/>
        </w:rPr>
      </w:pPr>
      <w:bookmarkStart w:id="0" w:name="_GoBack"/>
      <w:bookmarkEnd w:id="0"/>
      <w:r w:rsidRPr="00AB5A4D">
        <w:rPr>
          <w:rFonts w:asciiTheme="minorHAnsi" w:hAnsiTheme="minorHAnsi" w:cstheme="minorHAnsi"/>
          <w:b/>
          <w:bCs/>
        </w:rPr>
        <w:t>Standard oraz ceny rynkowe najczęściej finansowanych wydatków w projektach w ramach Poddziałania 10.</w:t>
      </w:r>
      <w:r w:rsidR="00FB3429" w:rsidRPr="00AB5A4D">
        <w:rPr>
          <w:rFonts w:asciiTheme="minorHAnsi" w:hAnsiTheme="minorHAnsi" w:cstheme="minorHAnsi"/>
          <w:b/>
          <w:bCs/>
        </w:rPr>
        <w:t>1</w:t>
      </w:r>
      <w:r w:rsidRPr="00AB5A4D">
        <w:rPr>
          <w:rFonts w:asciiTheme="minorHAnsi" w:hAnsiTheme="minorHAnsi" w:cstheme="minorHAnsi"/>
          <w:b/>
          <w:bCs/>
        </w:rPr>
        <w:t>.2</w:t>
      </w:r>
    </w:p>
    <w:p w14:paraId="08EC38F7" w14:textId="45C49060" w:rsidR="007D3CC6" w:rsidRPr="00AB5A4D" w:rsidRDefault="007D3CC6" w:rsidP="00AB5A4D">
      <w:pPr>
        <w:pStyle w:val="Default"/>
        <w:spacing w:before="120" w:after="120" w:line="276" w:lineRule="auto"/>
        <w:rPr>
          <w:rFonts w:asciiTheme="minorHAnsi" w:hAnsiTheme="minorHAnsi" w:cstheme="minorHAnsi"/>
        </w:rPr>
      </w:pPr>
      <w:r w:rsidRPr="00AB5A4D">
        <w:rPr>
          <w:rFonts w:asciiTheme="minorHAnsi" w:hAnsiTheme="minorHAnsi" w:cstheme="minorHAnsi"/>
        </w:rPr>
        <w:t>Dokument ten określa katalog najczęściej finansowanych kosztów w ramach Poddziałania 10.</w:t>
      </w:r>
      <w:r w:rsidR="00FB3429" w:rsidRPr="00AB5A4D">
        <w:rPr>
          <w:rFonts w:asciiTheme="minorHAnsi" w:hAnsiTheme="minorHAnsi" w:cstheme="minorHAnsi"/>
        </w:rPr>
        <w:t>1</w:t>
      </w:r>
      <w:r w:rsidRPr="00AB5A4D">
        <w:rPr>
          <w:rFonts w:asciiTheme="minorHAnsi" w:hAnsiTheme="minorHAnsi" w:cstheme="minorHAnsi"/>
        </w:rPr>
        <w:t>.2 oraz zawiera zalecenia odnośnie do zasad konstruowania budżetu szczegółowego projektu.</w:t>
      </w:r>
    </w:p>
    <w:p w14:paraId="0B2FA0AA" w14:textId="77777777" w:rsidR="007D3CC6" w:rsidRPr="00AB5A4D" w:rsidRDefault="007D3CC6" w:rsidP="00AB5A4D">
      <w:pPr>
        <w:pStyle w:val="Default"/>
        <w:spacing w:before="120" w:after="120" w:line="276" w:lineRule="auto"/>
        <w:rPr>
          <w:rFonts w:asciiTheme="minorHAnsi" w:hAnsiTheme="minorHAnsi" w:cstheme="minorHAnsi"/>
        </w:rPr>
      </w:pPr>
      <w:r w:rsidRPr="00AB5A4D">
        <w:rPr>
          <w:rFonts w:asciiTheme="minorHAnsi" w:hAnsiTheme="minorHAnsi" w:cstheme="minorHAnsi"/>
        </w:rPr>
        <w:t xml:space="preserve">Katalog kosztów nie ma charakteru zamkniętego. Dopuszczalne jest ujmowanie w projekcie innych kosztów, które są niezbędne do jego realizacji. Stawki wyszczególnione w zestawieniu są stawkami maksymalnymi, jednak nie oznacza to automatycznego akceptowania przez oceniających stawek założonych na maksymalnym poziomie (brane pod uwagę będą takie czynniki jak: specyfika projektu, stopień złożoności projektu, wielkość grupy docelowej, miejsce realizacji itp.). </w:t>
      </w:r>
    </w:p>
    <w:p w14:paraId="05A3CEF1" w14:textId="5A71421E" w:rsidR="00B35EE7" w:rsidRPr="00AB5A4D" w:rsidRDefault="007D3CC6" w:rsidP="00AB5A4D">
      <w:pPr>
        <w:pStyle w:val="Default"/>
        <w:spacing w:before="120" w:after="120" w:line="276" w:lineRule="auto"/>
        <w:rPr>
          <w:rFonts w:asciiTheme="minorHAnsi" w:hAnsiTheme="minorHAnsi" w:cstheme="minorHAnsi"/>
        </w:rPr>
      </w:pPr>
      <w:r w:rsidRPr="00AB5A4D">
        <w:rPr>
          <w:rFonts w:asciiTheme="minorHAnsi" w:hAnsiTheme="minorHAnsi" w:cstheme="minorHAnsi"/>
        </w:rPr>
        <w:t>Kwoty ujęte w zestawieniu uwzględniają wartość brutto wydatku (z wyjątkiem wynagrodzeń, które są szacowane z uwzględnieniem kosztów pracodawcy). Niemniej, wydatki na wynagrodzenie personelu są kwalifikowalne pod warunkiem, że ich wysokość odpowiada stawkom faktycznie stosowanym u</w:t>
      </w:r>
      <w:r w:rsidR="000F6439" w:rsidRPr="00AB5A4D">
        <w:rPr>
          <w:rFonts w:asciiTheme="minorHAnsi" w:hAnsiTheme="minorHAnsi" w:cstheme="minorHAnsi"/>
        </w:rPr>
        <w:t> </w:t>
      </w:r>
      <w:r w:rsidRPr="00AB5A4D">
        <w:rPr>
          <w:rFonts w:asciiTheme="minorHAnsi" w:hAnsiTheme="minorHAnsi" w:cstheme="minorHAnsi"/>
        </w:rPr>
        <w:t>wnioskodawcy/beneficjenta poza projektami współfinansowan</w:t>
      </w:r>
      <w:r w:rsidR="000F6439" w:rsidRPr="00AB5A4D">
        <w:rPr>
          <w:rFonts w:asciiTheme="minorHAnsi" w:hAnsiTheme="minorHAnsi" w:cstheme="minorHAnsi"/>
        </w:rPr>
        <w:t>ymi z funduszy strukturalnych i </w:t>
      </w:r>
      <w:r w:rsidRPr="00AB5A4D">
        <w:rPr>
          <w:rFonts w:asciiTheme="minorHAnsi" w:hAnsiTheme="minorHAnsi" w:cstheme="minorHAnsi"/>
        </w:rPr>
        <w:t>Funduszu Spójności na analogicznych stanowiskach lub na stanowiskach wymagających analogicznych kwalifikacji.</w:t>
      </w: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59"/>
        <w:gridCol w:w="1843"/>
        <w:gridCol w:w="5074"/>
      </w:tblGrid>
      <w:tr w:rsidR="003F48CD" w:rsidRPr="00AB5A4D" w14:paraId="3CD27AA9" w14:textId="77777777" w:rsidTr="00872FE9">
        <w:trPr>
          <w:trHeight w:val="504"/>
        </w:trPr>
        <w:tc>
          <w:tcPr>
            <w:tcW w:w="567" w:type="dxa"/>
            <w:shd w:val="clear" w:color="auto" w:fill="D9D9D9" w:themeFill="background1" w:themeFillShade="D9"/>
          </w:tcPr>
          <w:p w14:paraId="48C4D1C0" w14:textId="77777777" w:rsidR="003F48CD" w:rsidRPr="00AB5A4D" w:rsidRDefault="003F48CD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1AF8F96" w14:textId="77777777" w:rsidR="003F48CD" w:rsidRPr="00AB5A4D" w:rsidRDefault="00AA63D8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 xml:space="preserve">Rodzaj </w:t>
            </w:r>
            <w:r w:rsidR="003F48CD" w:rsidRPr="00AB5A4D">
              <w:rPr>
                <w:rFonts w:asciiTheme="minorHAnsi" w:hAnsiTheme="minorHAnsi" w:cstheme="minorHAnsi"/>
                <w:b/>
                <w:bCs/>
              </w:rPr>
              <w:t>kosztu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724495C" w14:textId="77777777" w:rsidR="003F48CD" w:rsidRPr="00AB5A4D" w:rsidRDefault="00AA63D8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Maksymalny koszt</w:t>
            </w:r>
          </w:p>
        </w:tc>
        <w:tc>
          <w:tcPr>
            <w:tcW w:w="5074" w:type="dxa"/>
            <w:shd w:val="clear" w:color="auto" w:fill="D9D9D9" w:themeFill="background1" w:themeFillShade="D9"/>
          </w:tcPr>
          <w:p w14:paraId="161EF610" w14:textId="77777777" w:rsidR="003F48CD" w:rsidRPr="00AB5A4D" w:rsidRDefault="00AA63D8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Oczekiwany standard/Uzasadnienie</w:t>
            </w:r>
          </w:p>
        </w:tc>
      </w:tr>
      <w:tr w:rsidR="00B6299A" w:rsidRPr="00AB5A4D" w14:paraId="0806E0C2" w14:textId="77777777" w:rsidTr="00872FE9">
        <w:trPr>
          <w:trHeight w:val="690"/>
        </w:trPr>
        <w:tc>
          <w:tcPr>
            <w:tcW w:w="567" w:type="dxa"/>
          </w:tcPr>
          <w:p w14:paraId="71B87DBB" w14:textId="53416D41" w:rsidR="00B6299A" w:rsidRPr="00AB5A4D" w:rsidRDefault="00317BB1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AB5A4D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559" w:type="dxa"/>
          </w:tcPr>
          <w:p w14:paraId="4DBC750E" w14:textId="22FDD7E1" w:rsidR="00B6299A" w:rsidRPr="00AB5A4D" w:rsidRDefault="00A40CD2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Wynagrodzenie nauczycieli prowadzących zajęcia</w:t>
            </w:r>
          </w:p>
        </w:tc>
        <w:tc>
          <w:tcPr>
            <w:tcW w:w="1843" w:type="dxa"/>
          </w:tcPr>
          <w:p w14:paraId="51E37952" w14:textId="0EF989B5" w:rsidR="00B6299A" w:rsidRPr="00AB5A4D" w:rsidRDefault="007D3CC6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do wysokości zgodnej z art. 35a Ustawy – Karta Nauczyciela lub art. 16 Ustawy – Prawo oświatowe</w:t>
            </w:r>
          </w:p>
        </w:tc>
        <w:tc>
          <w:tcPr>
            <w:tcW w:w="5074" w:type="dxa"/>
          </w:tcPr>
          <w:p w14:paraId="5CB3C587" w14:textId="49348216" w:rsidR="005478C4" w:rsidRPr="00AB5A4D" w:rsidRDefault="005478C4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W przypadku przydzielenia zajęć zgodnie z art. 35a Ustawy – Karta Nauczyciela za każdą godzinę prowadzenia zajęć bezpośrednio z uczniami lub na ich rzecz nauczyciel</w:t>
            </w:r>
            <w:r w:rsidR="000F6439" w:rsidRPr="00AB5A4D">
              <w:rPr>
                <w:rFonts w:asciiTheme="minorHAnsi" w:hAnsiTheme="minorHAnsi" w:cstheme="minorHAnsi"/>
              </w:rPr>
              <w:t>owi przysługuje wynagrodzenie w </w:t>
            </w:r>
            <w:r w:rsidRPr="00AB5A4D">
              <w:rPr>
                <w:rFonts w:asciiTheme="minorHAnsi" w:hAnsiTheme="minorHAnsi" w:cstheme="minorHAnsi"/>
              </w:rPr>
              <w:t xml:space="preserve">wysokości ustalonej </w:t>
            </w:r>
            <w:r w:rsidR="000F6439" w:rsidRPr="00AB5A4D">
              <w:rPr>
                <w:rFonts w:asciiTheme="minorHAnsi" w:hAnsiTheme="minorHAnsi" w:cstheme="minorHAnsi"/>
              </w:rPr>
              <w:t>jak za godziny ponadwymiarowe i godziny doraźnych zastępstw, w </w:t>
            </w:r>
            <w:r w:rsidRPr="00AB5A4D">
              <w:rPr>
                <w:rFonts w:asciiTheme="minorHAnsi" w:hAnsiTheme="minorHAnsi" w:cstheme="minorHAnsi"/>
              </w:rPr>
              <w:t>sposób określony w art. 35 ust. 3 Ustawy z dnia 26 stycznia 1982 r. – Karta Nauczyciela (według stawki osobistego wynagrodzenia z uwzględnieniem dodatku za warunki pracy).</w:t>
            </w:r>
          </w:p>
          <w:p w14:paraId="45CF04BA" w14:textId="56EF5221" w:rsidR="005478C4" w:rsidRPr="00AB5A4D" w:rsidRDefault="005478C4" w:rsidP="00AB5A4D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W przypadku zatrudnienia nauczyciela z innej szkoły lub placówki zgodnie z art. 16 Ustawy – Prawo oświatowe za każdą godzinę prowadzenia zajęć bezpośrednio z uczniami lub na ich rzecz nauczycielowi przysługuje wynagrodzenie nie wyższe niż wynagrodzenie za jedną godzinę prowadzenia zajęć ustalone w sposób określony w art. 35 ust. 3 Ustawy – Karta Nauczyciela dla </w:t>
            </w:r>
            <w:r w:rsidRPr="00AB5A4D">
              <w:rPr>
                <w:rFonts w:cstheme="minorHAnsi"/>
                <w:sz w:val="24"/>
                <w:szCs w:val="24"/>
              </w:rPr>
              <w:lastRenderedPageBreak/>
              <w:t>nauczyciela dyplomowanego posiadającego wykształcenie wyższe i tytuł zawodowy magister, magister inżynier lub równorzędny oraz realizującego tygodniowy obowiązkowy wymiar godzin zajęć, o którym mowa w</w:t>
            </w:r>
            <w:r w:rsidR="000F6439" w:rsidRPr="00AB5A4D">
              <w:rPr>
                <w:rFonts w:cstheme="minorHAnsi"/>
                <w:sz w:val="24"/>
                <w:szCs w:val="24"/>
              </w:rPr>
              <w:t> </w:t>
            </w:r>
            <w:r w:rsidRPr="00AB5A4D">
              <w:rPr>
                <w:rFonts w:cstheme="minorHAnsi"/>
                <w:sz w:val="24"/>
                <w:szCs w:val="24"/>
              </w:rPr>
              <w:t>art. 42 ust. 3 w tabeli w lp. 3 Ustawy – Karta Nauczyciela.</w:t>
            </w:r>
          </w:p>
          <w:p w14:paraId="34F1E5B7" w14:textId="6CF6CDDB" w:rsidR="00B6299A" w:rsidRPr="00AB5A4D" w:rsidRDefault="00A40CD2" w:rsidP="00AB5A4D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Zgodnie z art. 1</w:t>
            </w:r>
            <w:r w:rsidR="000F6439" w:rsidRPr="00AB5A4D">
              <w:rPr>
                <w:rFonts w:cstheme="minorHAnsi"/>
                <w:sz w:val="24"/>
                <w:szCs w:val="24"/>
              </w:rPr>
              <w:t>0a Ustawy – Karty Nauczyciela w </w:t>
            </w:r>
            <w:r w:rsidRPr="00AB5A4D">
              <w:rPr>
                <w:rFonts w:cstheme="minorHAnsi"/>
                <w:sz w:val="24"/>
                <w:szCs w:val="24"/>
              </w:rPr>
              <w:t>szkołach i placówkach, o których mowa w art. 1 ust. 2 pkt 2 (w tym w publicznych szkołach i placówkach prowadzonych przez osoby fizyczne oraz osoby prawne niebędące jednostkami samorządu terytorialnego, w szkołach niepublicznych o</w:t>
            </w:r>
            <w:r w:rsidR="000F6439" w:rsidRPr="00AB5A4D">
              <w:rPr>
                <w:rFonts w:cstheme="minorHAnsi"/>
                <w:sz w:val="24"/>
                <w:szCs w:val="24"/>
              </w:rPr>
              <w:t> </w:t>
            </w:r>
            <w:r w:rsidRPr="00AB5A4D">
              <w:rPr>
                <w:rFonts w:cstheme="minorHAnsi"/>
                <w:sz w:val="24"/>
                <w:szCs w:val="24"/>
              </w:rPr>
              <w:t>uprawnieniach szkół publicznych) nauczycieli zatrudnia się na podstawie umowy o pracę, zgodnie z</w:t>
            </w:r>
            <w:r w:rsidR="000F6439" w:rsidRPr="00AB5A4D">
              <w:rPr>
                <w:rFonts w:cstheme="minorHAnsi"/>
                <w:sz w:val="24"/>
                <w:szCs w:val="24"/>
              </w:rPr>
              <w:t> </w:t>
            </w:r>
            <w:r w:rsidRPr="00AB5A4D">
              <w:rPr>
                <w:rFonts w:cstheme="minorHAnsi"/>
                <w:sz w:val="24"/>
                <w:szCs w:val="24"/>
              </w:rPr>
              <w:t>Ustawą z dnia 26 czerwca 1974 r. – Kodeks pracy. Przepis ten ma zastosowanie w przypadku zatrudniania wszystkich nauczycieli, niezależnie od zajmowanego stanowiska czy wymiaru zatrudnienia, a</w:t>
            </w:r>
            <w:r w:rsidR="000F6439" w:rsidRPr="00AB5A4D">
              <w:rPr>
                <w:rFonts w:cstheme="minorHAnsi"/>
                <w:sz w:val="24"/>
                <w:szCs w:val="24"/>
              </w:rPr>
              <w:t> </w:t>
            </w:r>
            <w:r w:rsidRPr="00AB5A4D">
              <w:rPr>
                <w:rFonts w:cstheme="minorHAnsi"/>
                <w:sz w:val="24"/>
                <w:szCs w:val="24"/>
              </w:rPr>
              <w:t>więc także do zatrudniania nauczycieli pedagogów, psychologów, logopedów, terapeutów pedagogicznych, czy też nauczycieli zatrudnionych w</w:t>
            </w:r>
            <w:r w:rsidR="000F6439" w:rsidRPr="00AB5A4D">
              <w:rPr>
                <w:rFonts w:cstheme="minorHAnsi"/>
                <w:sz w:val="24"/>
                <w:szCs w:val="24"/>
              </w:rPr>
              <w:t> </w:t>
            </w:r>
            <w:r w:rsidRPr="00AB5A4D">
              <w:rPr>
                <w:rFonts w:cstheme="minorHAnsi"/>
                <w:sz w:val="24"/>
                <w:szCs w:val="24"/>
              </w:rPr>
              <w:t xml:space="preserve">niepełnym wymiarze zajęć. </w:t>
            </w:r>
          </w:p>
          <w:p w14:paraId="37FD35D4" w14:textId="0F097015" w:rsidR="005478C4" w:rsidRPr="00AB5A4D" w:rsidRDefault="005478C4" w:rsidP="00AB5A4D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W uzasadnieniu kosztu należy wskazać przepis prawa (art. 35a lub 10a ustawy – Karta Nauczyciela albo art. 16 ustawy – Prawo oświatowe), stanowiący podstawę zatrudnienia nauczyciela w projekcie.</w:t>
            </w:r>
          </w:p>
        </w:tc>
      </w:tr>
      <w:tr w:rsidR="006C0BC5" w:rsidRPr="00AB5A4D" w14:paraId="0FC4B301" w14:textId="77777777" w:rsidTr="00872FE9">
        <w:trPr>
          <w:trHeight w:val="1191"/>
        </w:trPr>
        <w:tc>
          <w:tcPr>
            <w:tcW w:w="567" w:type="dxa"/>
          </w:tcPr>
          <w:p w14:paraId="27CC8C22" w14:textId="03B2CF43" w:rsidR="006C0BC5" w:rsidRPr="00AB5A4D" w:rsidRDefault="009B19C0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AB5A4D">
              <w:rPr>
                <w:rFonts w:asciiTheme="minorHAnsi" w:hAnsiTheme="minorHAnsi" w:cstheme="minorHAnsi"/>
                <w:bCs/>
              </w:rPr>
              <w:lastRenderedPageBreak/>
              <w:t>2</w:t>
            </w:r>
          </w:p>
        </w:tc>
        <w:tc>
          <w:tcPr>
            <w:tcW w:w="1559" w:type="dxa"/>
          </w:tcPr>
          <w:p w14:paraId="6D28B9A8" w14:textId="51066C51" w:rsidR="006C0BC5" w:rsidRPr="00AB5A4D" w:rsidRDefault="006C0BC5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Refundacja wynagrodzenia/ dodatku do wynagrodzenia opiekuna stażysty</w:t>
            </w:r>
          </w:p>
        </w:tc>
        <w:tc>
          <w:tcPr>
            <w:tcW w:w="1843" w:type="dxa"/>
          </w:tcPr>
          <w:p w14:paraId="6ED959FA" w14:textId="0F8E7EEB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noProof/>
              </w:rPr>
            </w:pPr>
            <w:r w:rsidRPr="00AB5A4D">
              <w:rPr>
                <w:rFonts w:asciiTheme="minorHAnsi" w:hAnsiTheme="minorHAnsi" w:cstheme="minorHAnsi"/>
                <w:noProof/>
              </w:rPr>
              <w:t xml:space="preserve">a) </w:t>
            </w:r>
            <w:r w:rsidRPr="00AB5A4D">
              <w:rPr>
                <w:rFonts w:asciiTheme="minorHAnsi" w:hAnsiTheme="minorHAnsi" w:cstheme="minorHAnsi"/>
              </w:rPr>
              <w:t>do wysokości</w:t>
            </w:r>
            <w:r w:rsidRPr="00AB5A4D">
              <w:rPr>
                <w:rFonts w:asciiTheme="minorHAnsi" w:hAnsiTheme="minorHAnsi" w:cstheme="minorHAnsi"/>
                <w:noProof/>
              </w:rPr>
              <w:t xml:space="preserve"> </w:t>
            </w:r>
            <w:r w:rsidRPr="00AB5A4D">
              <w:rPr>
                <w:rFonts w:asciiTheme="minorHAnsi" w:hAnsiTheme="minorHAnsi" w:cstheme="minorHAnsi"/>
                <w:noProof/>
              </w:rPr>
              <w:br/>
              <w:t>5 000 zł/opiekun</w:t>
            </w:r>
          </w:p>
          <w:p w14:paraId="4E6762E8" w14:textId="340252CB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noProof/>
              </w:rPr>
            </w:pPr>
          </w:p>
          <w:p w14:paraId="0B61613B" w14:textId="77777777" w:rsidR="006C0BC5" w:rsidRPr="00AB5A4D" w:rsidRDefault="006C0BC5" w:rsidP="00AB5A4D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  <w:p w14:paraId="5A262992" w14:textId="77777777" w:rsidR="006C0BC5" w:rsidRPr="00AB5A4D" w:rsidRDefault="006C0BC5" w:rsidP="00AB5A4D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  <w:p w14:paraId="582F155A" w14:textId="0515AAAC" w:rsidR="006C0BC5" w:rsidRPr="00AB5A4D" w:rsidRDefault="006C0BC5" w:rsidP="00AB5A4D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  <w:p w14:paraId="62DDEABE" w14:textId="77777777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28D2501" w14:textId="77777777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6F868EB" w14:textId="024F9C7E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 xml:space="preserve">b) do wysokości 500 zł/opiekun </w:t>
            </w:r>
          </w:p>
          <w:p w14:paraId="2B4139CA" w14:textId="77777777" w:rsidR="006C0BC5" w:rsidRPr="00AB5A4D" w:rsidRDefault="006C0BC5" w:rsidP="00AB5A4D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74" w:type="dxa"/>
          </w:tcPr>
          <w:p w14:paraId="48292E13" w14:textId="032D0E60" w:rsidR="006C0BC5" w:rsidRPr="00AB5A4D" w:rsidRDefault="006C0BC5" w:rsidP="00AB5A4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noProof/>
                <w:color w:val="000000"/>
                <w:sz w:val="24"/>
                <w:szCs w:val="24"/>
              </w:rPr>
            </w:pPr>
            <w:r w:rsidRPr="00AB5A4D">
              <w:rPr>
                <w:rFonts w:cstheme="minorHAnsi"/>
                <w:bCs/>
                <w:noProof/>
                <w:color w:val="000000"/>
                <w:sz w:val="24"/>
                <w:szCs w:val="24"/>
              </w:rPr>
              <w:lastRenderedPageBreak/>
              <w:t>a) Refundacja podmiotowi przyjmującemu na staż wynagrodzenia opiekuna stażysty w zakresie odpowiadającym częściowemu lub całkowitemu zwolnieniu go od świadczenia pracy na rzecz realizacji zadań związanych z opieką nad grupą stażystów przez okres 150 godzin stażu w wysokości obliczonej jak za urlop wypoczynkowy, ale nie więcej niż 5 000 zł brutto. Wysokość wynagrodzenia nalicza się proporcjonalnie do liczby godzin stażu zrealizowanych przez uczniów.</w:t>
            </w:r>
          </w:p>
          <w:p w14:paraId="6F4A484D" w14:textId="29DE26C7" w:rsidR="006C0BC5" w:rsidRPr="00AB5A4D" w:rsidRDefault="006C0BC5" w:rsidP="00AB5A4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noProof/>
                <w:sz w:val="24"/>
                <w:szCs w:val="24"/>
              </w:rPr>
            </w:pPr>
            <w:r w:rsidRPr="00AB5A4D">
              <w:rPr>
                <w:rFonts w:cstheme="minorHAnsi"/>
                <w:bCs/>
                <w:noProof/>
                <w:color w:val="000000"/>
                <w:sz w:val="24"/>
                <w:szCs w:val="24"/>
              </w:rPr>
              <w:lastRenderedPageBreak/>
              <w:t>b) Refundacja podmiotowi przyjmującemu na staż dodatku do wynagrodzenia opiekuna stażysty w</w:t>
            </w:r>
            <w:r w:rsidR="000F6439" w:rsidRPr="00AB5A4D">
              <w:rPr>
                <w:rFonts w:cstheme="minorHAnsi"/>
                <w:bCs/>
                <w:noProof/>
                <w:color w:val="000000"/>
                <w:sz w:val="24"/>
                <w:szCs w:val="24"/>
              </w:rPr>
              <w:t> </w:t>
            </w:r>
            <w:r w:rsidRPr="00AB5A4D">
              <w:rPr>
                <w:rFonts w:cstheme="minorHAnsi"/>
                <w:bCs/>
                <w:noProof/>
                <w:color w:val="000000"/>
                <w:sz w:val="24"/>
                <w:szCs w:val="24"/>
              </w:rPr>
              <w:t>sytuacji, gdy nie został zwolniony od świadczenia pracy w wysokości nieprzekraczającej 10% jego zasadniczego wynagrodzenia wraz ze wszystkimi składnikami wynagrodzenia wynikającego ze zwiększonego zakresu</w:t>
            </w:r>
            <w:r w:rsidR="000F6439" w:rsidRPr="00AB5A4D">
              <w:rPr>
                <w:rFonts w:cstheme="minorHAnsi"/>
                <w:bCs/>
                <w:noProof/>
                <w:color w:val="000000"/>
                <w:sz w:val="24"/>
                <w:szCs w:val="24"/>
              </w:rPr>
              <w:t xml:space="preserve"> </w:t>
            </w:r>
            <w:r w:rsidRPr="00AB5A4D">
              <w:rPr>
                <w:rFonts w:cstheme="minorHAnsi"/>
                <w:sz w:val="24"/>
                <w:szCs w:val="24"/>
              </w:rPr>
              <w:t xml:space="preserve">zadań (opieka nad grupą stażystów), ale nie więcej niż 500 zł brutto za realizację 150 godzin stażu. Wysokość wynagrodzenia nalicza się proporcjonalnie do liczby godzin stażu zrealizowanych przez uczniów. </w:t>
            </w:r>
          </w:p>
        </w:tc>
      </w:tr>
      <w:tr w:rsidR="006C0BC5" w:rsidRPr="00AB5A4D" w14:paraId="25002A85" w14:textId="77777777" w:rsidTr="00872FE9">
        <w:trPr>
          <w:trHeight w:val="1191"/>
        </w:trPr>
        <w:tc>
          <w:tcPr>
            <w:tcW w:w="567" w:type="dxa"/>
          </w:tcPr>
          <w:p w14:paraId="610F033F" w14:textId="5DF23E62" w:rsidR="006C0BC5" w:rsidRPr="00AB5A4D" w:rsidRDefault="009B19C0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AB5A4D">
              <w:rPr>
                <w:rFonts w:asciiTheme="minorHAnsi" w:hAnsiTheme="minorHAnsi" w:cstheme="minorHAnsi"/>
                <w:bCs/>
              </w:rPr>
              <w:lastRenderedPageBreak/>
              <w:t>3</w:t>
            </w:r>
          </w:p>
        </w:tc>
        <w:tc>
          <w:tcPr>
            <w:tcW w:w="1559" w:type="dxa"/>
          </w:tcPr>
          <w:p w14:paraId="17FC640D" w14:textId="5D2FC09B" w:rsidR="006C0BC5" w:rsidRPr="00AB5A4D" w:rsidRDefault="006C0BC5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Stypendium za udział w stażu</w:t>
            </w:r>
          </w:p>
        </w:tc>
        <w:tc>
          <w:tcPr>
            <w:tcW w:w="1843" w:type="dxa"/>
          </w:tcPr>
          <w:p w14:paraId="48970A3C" w14:textId="77762579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noProof/>
              </w:rPr>
            </w:pPr>
            <w:r w:rsidRPr="00AB5A4D">
              <w:rPr>
                <w:rFonts w:asciiTheme="minorHAnsi" w:hAnsiTheme="minorHAnsi" w:cstheme="minorHAnsi"/>
              </w:rPr>
              <w:t>1 750 zł/</w:t>
            </w:r>
            <w:r w:rsidRPr="00AB5A4D">
              <w:rPr>
                <w:rFonts w:asciiTheme="minorHAnsi" w:hAnsiTheme="minorHAnsi" w:cstheme="minorHAnsi"/>
              </w:rPr>
              <w:br/>
              <w:t>osoba</w:t>
            </w:r>
          </w:p>
        </w:tc>
        <w:tc>
          <w:tcPr>
            <w:tcW w:w="5074" w:type="dxa"/>
          </w:tcPr>
          <w:p w14:paraId="4B74B73C" w14:textId="77777777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 xml:space="preserve">Pełna kwota stypendium jest wypłacana za każde kolejne przepracowane 150 godzin. </w:t>
            </w:r>
          </w:p>
          <w:p w14:paraId="65706C86" w14:textId="7F9B2FD2" w:rsidR="006C0BC5" w:rsidRPr="00AB5A4D" w:rsidRDefault="006C0BC5" w:rsidP="00AB5A4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noProof/>
                <w:color w:val="000000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Wysokość stypendium określa IZ RPO WK-P. Wysokość stypendium nie przekracza </w:t>
            </w:r>
            <w:r w:rsidR="002A7EBC" w:rsidRPr="00AB5A4D">
              <w:rPr>
                <w:rFonts w:cstheme="minorHAnsi"/>
                <w:sz w:val="24"/>
                <w:szCs w:val="24"/>
              </w:rPr>
              <w:t>minimalnego wynagrodzenia za pracę ustalonego na podstawie ustawy z dnia 10 października 2002 r. o minimalnym wynagrodzeniu za pracę (Dz. U. z 20</w:t>
            </w:r>
            <w:r w:rsidR="00E77950" w:rsidRPr="00AB5A4D">
              <w:rPr>
                <w:rFonts w:cstheme="minorHAnsi"/>
                <w:sz w:val="24"/>
                <w:szCs w:val="24"/>
              </w:rPr>
              <w:t>20</w:t>
            </w:r>
            <w:r w:rsidR="002A7EBC" w:rsidRPr="00AB5A4D">
              <w:rPr>
                <w:rFonts w:cstheme="minorHAnsi"/>
                <w:sz w:val="24"/>
                <w:szCs w:val="24"/>
              </w:rPr>
              <w:t xml:space="preserve"> r. poz. </w:t>
            </w:r>
            <w:r w:rsidR="00E77950" w:rsidRPr="00AB5A4D">
              <w:rPr>
                <w:rFonts w:cstheme="minorHAnsi"/>
                <w:sz w:val="24"/>
                <w:szCs w:val="24"/>
              </w:rPr>
              <w:t>2207).</w:t>
            </w:r>
          </w:p>
        </w:tc>
      </w:tr>
      <w:tr w:rsidR="006C0BC5" w:rsidRPr="00AB5A4D" w14:paraId="4786CE87" w14:textId="77777777" w:rsidTr="00872FE9">
        <w:trPr>
          <w:trHeight w:val="1191"/>
        </w:trPr>
        <w:tc>
          <w:tcPr>
            <w:tcW w:w="567" w:type="dxa"/>
          </w:tcPr>
          <w:p w14:paraId="61B0FECF" w14:textId="1CCD5FF3" w:rsidR="006C0BC5" w:rsidRPr="00AB5A4D" w:rsidRDefault="009B19C0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AB5A4D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559" w:type="dxa"/>
          </w:tcPr>
          <w:p w14:paraId="327833C0" w14:textId="77777777" w:rsidR="006C0BC5" w:rsidRPr="00AB5A4D" w:rsidRDefault="006C0BC5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Koszty związane</w:t>
            </w:r>
          </w:p>
          <w:p w14:paraId="48661AAD" w14:textId="77777777" w:rsidR="006C0BC5" w:rsidRPr="00AB5A4D" w:rsidRDefault="006C0BC5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z odbywaniem</w:t>
            </w:r>
          </w:p>
          <w:p w14:paraId="5E2C28A2" w14:textId="101A3518" w:rsidR="006C0BC5" w:rsidRPr="00AB5A4D" w:rsidRDefault="006C0BC5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stażu</w:t>
            </w:r>
          </w:p>
        </w:tc>
        <w:tc>
          <w:tcPr>
            <w:tcW w:w="1843" w:type="dxa"/>
          </w:tcPr>
          <w:p w14:paraId="5F1FBC18" w14:textId="23C2F916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 xml:space="preserve">do wysokości </w:t>
            </w:r>
            <w:r w:rsidRPr="00AB5A4D">
              <w:rPr>
                <w:rFonts w:asciiTheme="minorHAnsi" w:hAnsiTheme="minorHAnsi" w:cstheme="minorHAnsi"/>
              </w:rPr>
              <w:br/>
              <w:t>5 000 zł/osoba</w:t>
            </w:r>
          </w:p>
        </w:tc>
        <w:tc>
          <w:tcPr>
            <w:tcW w:w="5074" w:type="dxa"/>
          </w:tcPr>
          <w:p w14:paraId="4F6816F4" w14:textId="51032DD0" w:rsidR="002A7EBC" w:rsidRPr="00AB5A4D" w:rsidRDefault="002A7EBC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Katalog wydatków przewidzianych w ramach projektu może uwzględniać koszty związane z</w:t>
            </w:r>
            <w:r w:rsidR="002C0B4F" w:rsidRPr="00AB5A4D">
              <w:rPr>
                <w:rFonts w:asciiTheme="minorHAnsi" w:hAnsiTheme="minorHAnsi" w:cstheme="minorHAnsi"/>
              </w:rPr>
              <w:t> </w:t>
            </w:r>
            <w:r w:rsidRPr="00AB5A4D">
              <w:rPr>
                <w:rFonts w:asciiTheme="minorHAnsi" w:hAnsiTheme="minorHAnsi" w:cstheme="minorHAnsi"/>
              </w:rPr>
              <w:t>odbywaniem stażu (np. koszty dojazdu, koszty zakupu materiałów i narzędzi zużywalnych niezbędnych stażyście do odbycia stażu</w:t>
            </w:r>
            <w:r w:rsidR="007B59F8" w:rsidRPr="00AB5A4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Pr="00AB5A4D">
              <w:rPr>
                <w:rFonts w:asciiTheme="minorHAnsi" w:hAnsiTheme="minorHAnsi" w:cstheme="minorHAnsi"/>
              </w:rPr>
              <w:t xml:space="preserve">, szkolenia BHP stażysty itp.) w wysokości nieprzekraczającej 5 000 zł brutto na jedną osobę odbywającą staż. </w:t>
            </w:r>
          </w:p>
          <w:p w14:paraId="67456628" w14:textId="77777777" w:rsidR="002A7EBC" w:rsidRPr="00AB5A4D" w:rsidRDefault="002A7EBC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 xml:space="preserve">Katalog wydatków nie może obejmować wyposażenia stanowiska stażu. </w:t>
            </w:r>
          </w:p>
          <w:p w14:paraId="6C6CEC5D" w14:textId="77777777" w:rsidR="002A7EBC" w:rsidRPr="00AB5A4D" w:rsidRDefault="002A7EBC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 xml:space="preserve">Do ww. kwoty nie wlicza się: </w:t>
            </w:r>
          </w:p>
          <w:p w14:paraId="29B491D7" w14:textId="77777777" w:rsidR="002A7EBC" w:rsidRPr="00AB5A4D" w:rsidRDefault="002A7EBC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 xml:space="preserve">a) refundacji wynagrodzenia/dodatku opiekuna stażysty, </w:t>
            </w:r>
          </w:p>
          <w:p w14:paraId="0F4BA7DF" w14:textId="77777777" w:rsidR="002A7EBC" w:rsidRPr="00AB5A4D" w:rsidRDefault="002A7EBC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lastRenderedPageBreak/>
              <w:t xml:space="preserve">b) stypendium stażysty oraz </w:t>
            </w:r>
          </w:p>
          <w:p w14:paraId="6473C36B" w14:textId="77777777" w:rsidR="002A7EBC" w:rsidRPr="00AB5A4D" w:rsidRDefault="002A7EBC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 xml:space="preserve">c) kosztów podnoszenia kwalifikacji i kompetencji opiekuna stażysty. </w:t>
            </w:r>
          </w:p>
          <w:p w14:paraId="5F7FDE7A" w14:textId="722092FA" w:rsidR="006C0BC5" w:rsidRPr="00AB5A4D" w:rsidRDefault="002A7EBC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Dla umożliwienia oceny racjonalności założonego w budżecie poziomu kosztu we wniosku należy wskazać poszczególne elementy składające się na przedmiotowy wydatek (ze wskazaniem cen jednostkowych).</w:t>
            </w:r>
          </w:p>
        </w:tc>
      </w:tr>
      <w:tr w:rsidR="006C0BC5" w:rsidRPr="00AB5A4D" w14:paraId="0684F812" w14:textId="77777777" w:rsidTr="00872FE9">
        <w:trPr>
          <w:trHeight w:val="1191"/>
        </w:trPr>
        <w:tc>
          <w:tcPr>
            <w:tcW w:w="567" w:type="dxa"/>
          </w:tcPr>
          <w:p w14:paraId="4ECDA370" w14:textId="10CEDE8B" w:rsidR="006C0BC5" w:rsidRPr="00AB5A4D" w:rsidRDefault="009B19C0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AB5A4D">
              <w:rPr>
                <w:rFonts w:asciiTheme="minorHAnsi" w:hAnsiTheme="minorHAnsi" w:cstheme="minorHAnsi"/>
                <w:bCs/>
              </w:rPr>
              <w:lastRenderedPageBreak/>
              <w:t>5</w:t>
            </w:r>
          </w:p>
        </w:tc>
        <w:tc>
          <w:tcPr>
            <w:tcW w:w="1559" w:type="dxa"/>
          </w:tcPr>
          <w:p w14:paraId="4203CF7D" w14:textId="44868062" w:rsidR="006C0BC5" w:rsidRPr="00AB5A4D" w:rsidRDefault="006C0BC5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Wyżywienie (przerwa kawowa)</w:t>
            </w:r>
          </w:p>
        </w:tc>
        <w:tc>
          <w:tcPr>
            <w:tcW w:w="1843" w:type="dxa"/>
          </w:tcPr>
          <w:p w14:paraId="273BB30C" w14:textId="76F7FB0D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15 zł/zestaw</w:t>
            </w:r>
          </w:p>
        </w:tc>
        <w:tc>
          <w:tcPr>
            <w:tcW w:w="5074" w:type="dxa"/>
          </w:tcPr>
          <w:p w14:paraId="22671E8E" w14:textId="77777777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b/>
              </w:rPr>
            </w:pPr>
            <w:r w:rsidRPr="00AB5A4D">
              <w:rPr>
                <w:rFonts w:asciiTheme="minorHAnsi" w:hAnsiTheme="minorHAnsi" w:cstheme="minorHAnsi"/>
                <w:b/>
              </w:rPr>
              <w:t>Wydatek może być kwalifikowany, jeżeli wsparcie dla tej samej grupy osób w danym dniu trwa nie krócej niż 4 godziny lekcyjne (godzina lekcyjna = 45 minut).</w:t>
            </w:r>
          </w:p>
          <w:p w14:paraId="690BF8BD" w14:textId="77777777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Zakres: standardowa przerwa kawowa (kawa, herbata, woda, soki, ciastka, kanapki).</w:t>
            </w:r>
          </w:p>
          <w:p w14:paraId="38509586" w14:textId="0B524B9F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Cena rynkowa powinna być uzależniona od rodzaju oferowanej usługi i jest niższa, jeżeli finansowany jest mniejszy zakres usługi (np. kawa, herbata, woda, mleko, cukier, cytryna bez drobnych lub słodkich przekąsek).</w:t>
            </w:r>
          </w:p>
        </w:tc>
      </w:tr>
      <w:tr w:rsidR="006C0BC5" w:rsidRPr="00AB5A4D" w14:paraId="1E0FC3FA" w14:textId="77777777" w:rsidTr="00872FE9">
        <w:trPr>
          <w:trHeight w:val="1191"/>
        </w:trPr>
        <w:tc>
          <w:tcPr>
            <w:tcW w:w="567" w:type="dxa"/>
          </w:tcPr>
          <w:p w14:paraId="6CBEAA90" w14:textId="56B3B365" w:rsidR="006C0BC5" w:rsidRPr="00AB5A4D" w:rsidRDefault="009B19C0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AB5A4D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559" w:type="dxa"/>
          </w:tcPr>
          <w:p w14:paraId="69A235EB" w14:textId="28325AD2" w:rsidR="006C0BC5" w:rsidRPr="00AB5A4D" w:rsidRDefault="006C0BC5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Koszty dojazdu</w:t>
            </w:r>
          </w:p>
        </w:tc>
        <w:tc>
          <w:tcPr>
            <w:tcW w:w="1843" w:type="dxa"/>
          </w:tcPr>
          <w:p w14:paraId="0EFB6FE3" w14:textId="2ED2F13F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W zależności od miejsca zamieszkania ucznia i miejsca odbywania stażu</w:t>
            </w:r>
          </w:p>
        </w:tc>
        <w:tc>
          <w:tcPr>
            <w:tcW w:w="5074" w:type="dxa"/>
          </w:tcPr>
          <w:p w14:paraId="7F3AB2EF" w14:textId="06FF9EC9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 xml:space="preserve">W oparciu o </w:t>
            </w:r>
            <w:r w:rsidRPr="00AB5A4D">
              <w:rPr>
                <w:rFonts w:asciiTheme="minorHAnsi" w:hAnsiTheme="minorHAnsi" w:cstheme="minorHAnsi"/>
                <w:b/>
                <w:bCs/>
              </w:rPr>
              <w:t xml:space="preserve">cennik operatora komunikacji publicznej </w:t>
            </w:r>
            <w:r w:rsidRPr="00AB5A4D">
              <w:rPr>
                <w:rFonts w:asciiTheme="minorHAnsi" w:hAnsiTheme="minorHAnsi" w:cstheme="minorHAnsi"/>
              </w:rPr>
              <w:t>(do wysokości opłat za środki transportu publicznego szynowego lub kołowego zgodnie z cennikiem biletów II klasy obowiązującym na danym obszarze), także w</w:t>
            </w:r>
            <w:r w:rsidR="002C0B4F" w:rsidRPr="00AB5A4D">
              <w:rPr>
                <w:rFonts w:asciiTheme="minorHAnsi" w:hAnsiTheme="minorHAnsi" w:cstheme="minorHAnsi"/>
              </w:rPr>
              <w:t> </w:t>
            </w:r>
            <w:r w:rsidRPr="00AB5A4D">
              <w:rPr>
                <w:rFonts w:asciiTheme="minorHAnsi" w:hAnsiTheme="minorHAnsi" w:cstheme="minorHAnsi"/>
              </w:rPr>
              <w:t xml:space="preserve">przypadku korzystania ze środków transportu prywatnego (w szczególności samochodem). </w:t>
            </w:r>
          </w:p>
          <w:p w14:paraId="6D7DD83F" w14:textId="6D9AAD26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IZ RPO WK-P dopuszcza również możliwość korzystania przez uczniów z usług przewoźników prywatnych, jeżeli jest to racjonalne (tj. danej trasy nie obsługuje tańszy przewoźnik publiczny, trasa jest obsługiwana przez przewoźnika publicznego w</w:t>
            </w:r>
            <w:r w:rsidR="002C0B4F" w:rsidRPr="00AB5A4D">
              <w:rPr>
                <w:rFonts w:asciiTheme="minorHAnsi" w:hAnsiTheme="minorHAnsi" w:cstheme="minorHAnsi"/>
              </w:rPr>
              <w:t> </w:t>
            </w:r>
            <w:r w:rsidRPr="00AB5A4D">
              <w:rPr>
                <w:rFonts w:asciiTheme="minorHAnsi" w:hAnsiTheme="minorHAnsi" w:cstheme="minorHAnsi"/>
              </w:rPr>
              <w:t xml:space="preserve">nieadekwatnych godzinach albo ceny usług przewoźnika prywatnego i publicznego są zbliżone). </w:t>
            </w:r>
          </w:p>
          <w:p w14:paraId="5F000013" w14:textId="4F9A2539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b/>
              </w:rPr>
            </w:pPr>
            <w:r w:rsidRPr="00AB5A4D">
              <w:rPr>
                <w:rFonts w:asciiTheme="minorHAnsi" w:hAnsiTheme="minorHAnsi" w:cstheme="minorHAnsi"/>
              </w:rPr>
              <w:t xml:space="preserve">We wniosku należy zamieścić uzasadnienie dla założonego poziomu kosztu dojazdu uczniów. </w:t>
            </w:r>
          </w:p>
        </w:tc>
      </w:tr>
      <w:tr w:rsidR="006C0BC5" w:rsidRPr="00AB5A4D" w14:paraId="6B057633" w14:textId="77777777" w:rsidTr="00872FE9">
        <w:trPr>
          <w:trHeight w:val="1191"/>
        </w:trPr>
        <w:tc>
          <w:tcPr>
            <w:tcW w:w="567" w:type="dxa"/>
          </w:tcPr>
          <w:p w14:paraId="649E6496" w14:textId="5A43735F" w:rsidR="006C0BC5" w:rsidRPr="00AB5A4D" w:rsidRDefault="009B19C0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AB5A4D">
              <w:rPr>
                <w:rFonts w:asciiTheme="minorHAnsi" w:hAnsiTheme="minorHAnsi" w:cstheme="minorHAnsi"/>
                <w:bCs/>
              </w:rPr>
              <w:lastRenderedPageBreak/>
              <w:t>7</w:t>
            </w:r>
          </w:p>
        </w:tc>
        <w:tc>
          <w:tcPr>
            <w:tcW w:w="1559" w:type="dxa"/>
          </w:tcPr>
          <w:p w14:paraId="2B85B18D" w14:textId="3B39E4C4" w:rsidR="006C0BC5" w:rsidRPr="00AB5A4D" w:rsidRDefault="006C0BC5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 xml:space="preserve">Koszt organizacji wyjazdów dla uczniów </w:t>
            </w:r>
          </w:p>
        </w:tc>
        <w:tc>
          <w:tcPr>
            <w:tcW w:w="1843" w:type="dxa"/>
          </w:tcPr>
          <w:p w14:paraId="42F926A5" w14:textId="3709F644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–</w:t>
            </w:r>
          </w:p>
        </w:tc>
        <w:tc>
          <w:tcPr>
            <w:tcW w:w="5074" w:type="dxa"/>
          </w:tcPr>
          <w:p w14:paraId="143957FC" w14:textId="77777777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eastAsia="Calibri" w:hAnsiTheme="minorHAnsi" w:cstheme="minorHAnsi"/>
                <w:bCs/>
              </w:rPr>
            </w:pPr>
            <w:r w:rsidRPr="00AB5A4D">
              <w:rPr>
                <w:rFonts w:asciiTheme="minorHAnsi" w:eastAsia="Calibri" w:hAnsiTheme="minorHAnsi" w:cstheme="minorHAnsi"/>
                <w:bCs/>
              </w:rPr>
              <w:t>Koszt wymaga uzasadnienia, w którym zostaną zawarte informacje dotyczące:</w:t>
            </w:r>
          </w:p>
          <w:p w14:paraId="76F12ABF" w14:textId="77777777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eastAsia="Calibri" w:hAnsiTheme="minorHAnsi" w:cstheme="minorHAnsi"/>
                <w:bCs/>
                <w:i/>
              </w:rPr>
            </w:pPr>
            <w:r w:rsidRPr="00AB5A4D">
              <w:rPr>
                <w:rFonts w:asciiTheme="minorHAnsi" w:eastAsia="Calibri" w:hAnsiTheme="minorHAnsi" w:cstheme="minorHAnsi"/>
                <w:bCs/>
              </w:rPr>
              <w:t>– przewidywanej liczby uczestników,</w:t>
            </w:r>
          </w:p>
          <w:p w14:paraId="1D01D72D" w14:textId="77777777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– przewidywanego czas trwania wyjazdu,</w:t>
            </w:r>
          </w:p>
          <w:p w14:paraId="6B4C5929" w14:textId="765995EB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– sposobu kalkulacji kosztu (przykładowego katalogu wydatków, np. bilety wstępu do …, koszt transportu itd. wraz z cenami).</w:t>
            </w:r>
          </w:p>
        </w:tc>
      </w:tr>
      <w:tr w:rsidR="006C0BC5" w:rsidRPr="00AB5A4D" w14:paraId="0D0B6831" w14:textId="77777777" w:rsidTr="002C0B4F">
        <w:trPr>
          <w:trHeight w:val="557"/>
        </w:trPr>
        <w:tc>
          <w:tcPr>
            <w:tcW w:w="567" w:type="dxa"/>
          </w:tcPr>
          <w:p w14:paraId="79AFF930" w14:textId="33D6BB1F" w:rsidR="006C0BC5" w:rsidRPr="00AB5A4D" w:rsidRDefault="009B19C0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AB5A4D">
              <w:rPr>
                <w:rFonts w:asciiTheme="minorHAnsi" w:hAnsiTheme="minorHAnsi" w:cstheme="minorHAnsi"/>
                <w:bCs/>
              </w:rPr>
              <w:t>8</w:t>
            </w:r>
          </w:p>
        </w:tc>
        <w:tc>
          <w:tcPr>
            <w:tcW w:w="1559" w:type="dxa"/>
          </w:tcPr>
          <w:p w14:paraId="6EF7A73D" w14:textId="1B130618" w:rsidR="006C0BC5" w:rsidRPr="00AB5A4D" w:rsidRDefault="006C0BC5" w:rsidP="00AB5A4D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AB5A4D">
              <w:rPr>
                <w:rFonts w:asciiTheme="minorHAnsi" w:hAnsiTheme="minorHAnsi" w:cstheme="minorHAnsi"/>
                <w:b/>
                <w:bCs/>
              </w:rPr>
              <w:t>Koszt udostępniania sal lekcyjnych (wkład niepieniężny)</w:t>
            </w:r>
          </w:p>
        </w:tc>
        <w:tc>
          <w:tcPr>
            <w:tcW w:w="1843" w:type="dxa"/>
          </w:tcPr>
          <w:p w14:paraId="2DD7B24B" w14:textId="43DD886E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AB5A4D">
              <w:rPr>
                <w:rFonts w:asciiTheme="minorHAnsi" w:hAnsiTheme="minorHAnsi" w:cstheme="minorHAnsi"/>
              </w:rPr>
              <w:t>30 zł/godzina</w:t>
            </w:r>
          </w:p>
        </w:tc>
        <w:tc>
          <w:tcPr>
            <w:tcW w:w="5074" w:type="dxa"/>
          </w:tcPr>
          <w:p w14:paraId="24C7C944" w14:textId="09EB0F0B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eastAsia="Calibri" w:hAnsiTheme="minorHAnsi" w:cstheme="minorHAnsi"/>
                <w:bCs/>
              </w:rPr>
            </w:pPr>
            <w:r w:rsidRPr="00AB5A4D">
              <w:rPr>
                <w:rFonts w:asciiTheme="minorHAnsi" w:eastAsia="Calibri" w:hAnsiTheme="minorHAnsi" w:cstheme="minorHAnsi"/>
                <w:bCs/>
              </w:rPr>
              <w:t>Koszt dotyczy sali lekcyjnej umożliwiającej przeprowadzenie zajęć dla grupy 20 uczniów oraz spełniającej</w:t>
            </w:r>
            <w:r w:rsidR="002C0B4F" w:rsidRPr="00AB5A4D">
              <w:rPr>
                <w:rFonts w:asciiTheme="minorHAnsi" w:eastAsia="Calibri" w:hAnsiTheme="minorHAnsi" w:cstheme="minorHAnsi"/>
                <w:bCs/>
              </w:rPr>
              <w:t xml:space="preserve"> wymogi higieniczno-sanitarne i </w:t>
            </w:r>
            <w:r w:rsidRPr="00AB5A4D">
              <w:rPr>
                <w:rFonts w:asciiTheme="minorHAnsi" w:eastAsia="Calibri" w:hAnsiTheme="minorHAnsi" w:cstheme="minorHAnsi"/>
                <w:bCs/>
              </w:rPr>
              <w:t>przeciwpożarowe. Koszt uwzględnia podstawowe wyposażenie w krzesła, biurka i tablice.</w:t>
            </w:r>
          </w:p>
          <w:p w14:paraId="46DFA6B6" w14:textId="0B20D575" w:rsidR="006C0BC5" w:rsidRPr="00AB5A4D" w:rsidRDefault="006C0BC5" w:rsidP="00AB5A4D">
            <w:pPr>
              <w:pStyle w:val="Default"/>
              <w:spacing w:before="120" w:after="120" w:line="276" w:lineRule="auto"/>
              <w:rPr>
                <w:rFonts w:asciiTheme="minorHAnsi" w:eastAsia="Calibri" w:hAnsiTheme="minorHAnsi" w:cstheme="minorHAnsi"/>
                <w:bCs/>
              </w:rPr>
            </w:pPr>
            <w:r w:rsidRPr="00AB5A4D">
              <w:rPr>
                <w:rFonts w:asciiTheme="minorHAnsi" w:eastAsia="Calibri" w:hAnsiTheme="minorHAnsi" w:cstheme="minorHAnsi"/>
                <w:bCs/>
              </w:rPr>
              <w:t>W przypadku gdy w ramach wkładu własnego niepieniężnego wnioskodawca zamierza udostępnić na potrzeby projektu sale w kwocie wyższej – jest to możliwe, o ile udostępniana sala będzie posiadała wyższe parametry (np. dodatkowy funkcjonalny metraż, ponadpodstawowy rodzaj wyposażenia) oraz wnios</w:t>
            </w:r>
            <w:r w:rsidR="002C0B4F" w:rsidRPr="00AB5A4D">
              <w:rPr>
                <w:rFonts w:asciiTheme="minorHAnsi" w:eastAsia="Calibri" w:hAnsiTheme="minorHAnsi" w:cstheme="minorHAnsi"/>
                <w:bCs/>
              </w:rPr>
              <w:t>kodawca przedstawi we wniosku o </w:t>
            </w:r>
            <w:r w:rsidRPr="00AB5A4D">
              <w:rPr>
                <w:rFonts w:asciiTheme="minorHAnsi" w:eastAsia="Calibri" w:hAnsiTheme="minorHAnsi" w:cstheme="minorHAnsi"/>
                <w:bCs/>
              </w:rPr>
              <w:t>dofinansowanie projektu stosowne wyjaśnienie/ metodologię oraz w (przypadku szkoły publicznej) wskaże właściwy dokument, na podstawie którego zatwierdzono  stawkę (np. uchwała rady powiatu, zarządzenie dyrektora szkoły).</w:t>
            </w:r>
          </w:p>
        </w:tc>
      </w:tr>
    </w:tbl>
    <w:p w14:paraId="79C36D7E" w14:textId="77777777" w:rsidR="003F48CD" w:rsidRPr="00AB5A4D" w:rsidRDefault="003F48CD" w:rsidP="00AB5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 w:after="120"/>
        <w:rPr>
          <w:rFonts w:cstheme="minorHAnsi"/>
          <w:b/>
          <w:sz w:val="24"/>
          <w:szCs w:val="24"/>
        </w:rPr>
      </w:pPr>
      <w:r w:rsidRPr="00AB5A4D">
        <w:rPr>
          <w:rFonts w:cstheme="minorHAnsi"/>
          <w:b/>
          <w:sz w:val="24"/>
          <w:szCs w:val="24"/>
        </w:rPr>
        <w:t>Zalecenia odnośnie</w:t>
      </w:r>
      <w:r w:rsidR="00024D90" w:rsidRPr="00AB5A4D">
        <w:rPr>
          <w:rFonts w:cstheme="minorHAnsi"/>
          <w:b/>
          <w:sz w:val="24"/>
          <w:szCs w:val="24"/>
        </w:rPr>
        <w:t xml:space="preserve"> do</w:t>
      </w:r>
      <w:r w:rsidRPr="00AB5A4D">
        <w:rPr>
          <w:rFonts w:cstheme="minorHAnsi"/>
          <w:b/>
          <w:sz w:val="24"/>
          <w:szCs w:val="24"/>
        </w:rPr>
        <w:t xml:space="preserve"> zasad konstruowania budżetu szczegółowego projektu.</w:t>
      </w:r>
    </w:p>
    <w:p w14:paraId="6E6429E7" w14:textId="0C2D28F6" w:rsidR="008974D1" w:rsidRPr="00AB5A4D" w:rsidRDefault="003F48CD" w:rsidP="00AB5A4D">
      <w:pPr>
        <w:spacing w:before="120" w:after="120"/>
        <w:rPr>
          <w:rFonts w:cstheme="minorHAnsi"/>
          <w:b/>
          <w:sz w:val="24"/>
          <w:szCs w:val="24"/>
          <w:u w:val="single"/>
        </w:rPr>
      </w:pPr>
      <w:r w:rsidRPr="00AB5A4D">
        <w:rPr>
          <w:rFonts w:cstheme="minorHAnsi"/>
          <w:b/>
          <w:sz w:val="24"/>
          <w:szCs w:val="24"/>
        </w:rPr>
        <w:t xml:space="preserve">IZ RPO WK-P zaleca, aby wydatki </w:t>
      </w:r>
      <w:r w:rsidR="005A7498" w:rsidRPr="00AB5A4D">
        <w:rPr>
          <w:rFonts w:cstheme="minorHAnsi"/>
          <w:b/>
          <w:sz w:val="24"/>
          <w:szCs w:val="24"/>
        </w:rPr>
        <w:t>w budżecie szczegółowym ujmować w tożsamych kategoriach zbiorczych, tzn. jako osobnych pozycji budżetowych nie ujmować wydatków, które można uwzględnić w budżecie w ramach wydatku o charakterze zbiorczym.</w:t>
      </w:r>
      <w:r w:rsidR="005A7498" w:rsidRPr="00AB5A4D">
        <w:rPr>
          <w:rFonts w:cstheme="minorHAnsi"/>
          <w:sz w:val="24"/>
          <w:szCs w:val="24"/>
        </w:rPr>
        <w:t xml:space="preserve"> </w:t>
      </w:r>
      <w:r w:rsidR="008974D1" w:rsidRPr="00AB5A4D">
        <w:rPr>
          <w:rFonts w:cstheme="minorHAnsi"/>
          <w:b/>
          <w:sz w:val="24"/>
          <w:szCs w:val="24"/>
          <w:u w:val="single"/>
        </w:rPr>
        <w:t xml:space="preserve">Dotyczy to w szczególności kosztów związanych z zakupem wyposażenia pracowni niezbędnego do nauczania eksperymentalnego  (niestanowiącego środków trwałych o wartości </w:t>
      </w:r>
      <w:r w:rsidR="002A7EBC" w:rsidRPr="00AB5A4D">
        <w:rPr>
          <w:rFonts w:cstheme="minorHAnsi"/>
          <w:b/>
          <w:sz w:val="24"/>
          <w:szCs w:val="24"/>
          <w:u w:val="single"/>
        </w:rPr>
        <w:t>wyższej niż</w:t>
      </w:r>
      <w:r w:rsidR="008974D1" w:rsidRPr="00AB5A4D">
        <w:rPr>
          <w:rFonts w:cstheme="minorHAnsi"/>
          <w:b/>
          <w:sz w:val="24"/>
          <w:szCs w:val="24"/>
          <w:u w:val="single"/>
        </w:rPr>
        <w:t xml:space="preserve"> </w:t>
      </w:r>
      <w:r w:rsidR="00EF30D4" w:rsidRPr="00AB5A4D">
        <w:rPr>
          <w:rFonts w:cstheme="minorHAnsi"/>
          <w:b/>
          <w:sz w:val="24"/>
          <w:szCs w:val="24"/>
          <w:u w:val="single"/>
        </w:rPr>
        <w:t>10 0</w:t>
      </w:r>
      <w:r w:rsidR="002C0B4F" w:rsidRPr="00AB5A4D">
        <w:rPr>
          <w:rFonts w:cstheme="minorHAnsi"/>
          <w:b/>
          <w:sz w:val="24"/>
          <w:szCs w:val="24"/>
          <w:u w:val="single"/>
        </w:rPr>
        <w:t>00 zł netto i </w:t>
      </w:r>
      <w:r w:rsidR="008974D1" w:rsidRPr="00AB5A4D">
        <w:rPr>
          <w:rFonts w:cstheme="minorHAnsi"/>
          <w:b/>
          <w:sz w:val="24"/>
          <w:szCs w:val="24"/>
          <w:u w:val="single"/>
        </w:rPr>
        <w:t>cross-financingu), np.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22"/>
        <w:gridCol w:w="891"/>
        <w:gridCol w:w="1238"/>
        <w:gridCol w:w="1094"/>
        <w:gridCol w:w="1417"/>
      </w:tblGrid>
      <w:tr w:rsidR="008974D1" w:rsidRPr="00AB5A4D" w14:paraId="2FEC2068" w14:textId="77777777" w:rsidTr="00E808A8">
        <w:tc>
          <w:tcPr>
            <w:tcW w:w="4452" w:type="dxa"/>
            <w:shd w:val="clear" w:color="auto" w:fill="D9D9D9" w:themeFill="background1" w:themeFillShade="D9"/>
          </w:tcPr>
          <w:p w14:paraId="3FC43027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Nazwa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4780FF3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J.m.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14:paraId="6D08B790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1096" w:type="dxa"/>
            <w:shd w:val="clear" w:color="auto" w:fill="D9D9D9" w:themeFill="background1" w:themeFillShade="D9"/>
          </w:tcPr>
          <w:p w14:paraId="02770ACC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Cena jedn.</w:t>
            </w:r>
          </w:p>
        </w:tc>
        <w:tc>
          <w:tcPr>
            <w:tcW w:w="1422" w:type="dxa"/>
            <w:shd w:val="clear" w:color="auto" w:fill="D9D9D9" w:themeFill="background1" w:themeFillShade="D9"/>
          </w:tcPr>
          <w:p w14:paraId="2BE5F4C6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Łącznie</w:t>
            </w:r>
          </w:p>
        </w:tc>
      </w:tr>
      <w:tr w:rsidR="008974D1" w:rsidRPr="00AB5A4D" w14:paraId="0139693D" w14:textId="77777777" w:rsidTr="00E808A8">
        <w:tc>
          <w:tcPr>
            <w:tcW w:w="4452" w:type="dxa"/>
          </w:tcPr>
          <w:p w14:paraId="10A40369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lastRenderedPageBreak/>
              <w:t>Wyposażenie pracowni przyrodniczej</w:t>
            </w:r>
          </w:p>
        </w:tc>
        <w:tc>
          <w:tcPr>
            <w:tcW w:w="850" w:type="dxa"/>
          </w:tcPr>
          <w:p w14:paraId="7F238D83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zestaw</w:t>
            </w:r>
          </w:p>
        </w:tc>
        <w:tc>
          <w:tcPr>
            <w:tcW w:w="1242" w:type="dxa"/>
          </w:tcPr>
          <w:p w14:paraId="11F8C78A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96" w:type="dxa"/>
          </w:tcPr>
          <w:p w14:paraId="100BB0CF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13 500,00</w:t>
            </w:r>
          </w:p>
        </w:tc>
        <w:tc>
          <w:tcPr>
            <w:tcW w:w="1422" w:type="dxa"/>
          </w:tcPr>
          <w:p w14:paraId="2B8AA71A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13 500,00</w:t>
            </w:r>
          </w:p>
        </w:tc>
      </w:tr>
      <w:tr w:rsidR="008974D1" w:rsidRPr="00AB5A4D" w14:paraId="1CB31965" w14:textId="77777777" w:rsidTr="00E808A8">
        <w:tc>
          <w:tcPr>
            <w:tcW w:w="4452" w:type="dxa"/>
          </w:tcPr>
          <w:p w14:paraId="12870601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Pomoce dydaktyczne do kształcenia uczniów ze specjalnymi potrzebami rozwojowymi </w:t>
            </w:r>
          </w:p>
        </w:tc>
        <w:tc>
          <w:tcPr>
            <w:tcW w:w="850" w:type="dxa"/>
          </w:tcPr>
          <w:p w14:paraId="60FE1AB8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zestaw</w:t>
            </w:r>
          </w:p>
        </w:tc>
        <w:tc>
          <w:tcPr>
            <w:tcW w:w="1242" w:type="dxa"/>
          </w:tcPr>
          <w:p w14:paraId="0F53FFB1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96" w:type="dxa"/>
          </w:tcPr>
          <w:p w14:paraId="2484E83E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500,00</w:t>
            </w:r>
          </w:p>
        </w:tc>
        <w:tc>
          <w:tcPr>
            <w:tcW w:w="1422" w:type="dxa"/>
          </w:tcPr>
          <w:p w14:paraId="19CE5C2E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500,00</w:t>
            </w:r>
          </w:p>
        </w:tc>
      </w:tr>
    </w:tbl>
    <w:p w14:paraId="10289345" w14:textId="470CB4DC" w:rsidR="00E02C7C" w:rsidRPr="00AB5A4D" w:rsidRDefault="00E02C7C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b/>
          <w:sz w:val="24"/>
          <w:szCs w:val="24"/>
        </w:rPr>
        <w:t>W uzasadnieniu kosztów specyficznych należy podać</w:t>
      </w:r>
      <w:r w:rsidR="00024D90" w:rsidRPr="00AB5A4D">
        <w:rPr>
          <w:rFonts w:cstheme="minorHAnsi"/>
          <w:b/>
          <w:sz w:val="24"/>
          <w:szCs w:val="24"/>
        </w:rPr>
        <w:t>,</w:t>
      </w:r>
      <w:r w:rsidRPr="00AB5A4D">
        <w:rPr>
          <w:rFonts w:cstheme="minorHAnsi"/>
          <w:b/>
          <w:sz w:val="24"/>
          <w:szCs w:val="24"/>
        </w:rPr>
        <w:t xml:space="preserve"> co wchodzi w skład zestawu. </w:t>
      </w:r>
      <w:r w:rsidR="006E29A5" w:rsidRPr="00AB5A4D">
        <w:rPr>
          <w:rFonts w:cstheme="minorHAnsi"/>
          <w:b/>
          <w:sz w:val="24"/>
          <w:szCs w:val="24"/>
        </w:rPr>
        <w:t>Co do zasady</w:t>
      </w:r>
      <w:r w:rsidR="006E29A5" w:rsidRPr="00AB5A4D">
        <w:rPr>
          <w:rFonts w:cstheme="minorHAnsi"/>
          <w:sz w:val="24"/>
          <w:szCs w:val="24"/>
        </w:rPr>
        <w:t xml:space="preserve"> w</w:t>
      </w:r>
      <w:r w:rsidR="002C0B4F" w:rsidRPr="00AB5A4D">
        <w:rPr>
          <w:rFonts w:cstheme="minorHAnsi"/>
          <w:sz w:val="24"/>
          <w:szCs w:val="24"/>
        </w:rPr>
        <w:t> </w:t>
      </w:r>
      <w:r w:rsidRPr="00AB5A4D">
        <w:rPr>
          <w:rFonts w:cstheme="minorHAnsi"/>
          <w:sz w:val="24"/>
          <w:szCs w:val="24"/>
        </w:rPr>
        <w:t>przypadku z</w:t>
      </w:r>
      <w:r w:rsidR="003E370F" w:rsidRPr="00AB5A4D">
        <w:rPr>
          <w:rFonts w:cstheme="minorHAnsi"/>
          <w:sz w:val="24"/>
          <w:szCs w:val="24"/>
        </w:rPr>
        <w:t>estawów</w:t>
      </w:r>
      <w:r w:rsidR="006E29A5" w:rsidRPr="00AB5A4D">
        <w:rPr>
          <w:rFonts w:cstheme="minorHAnsi"/>
          <w:sz w:val="24"/>
          <w:szCs w:val="24"/>
        </w:rPr>
        <w:t xml:space="preserve"> o niewielkiej wartości</w:t>
      </w:r>
      <w:r w:rsidR="00284CE0" w:rsidRPr="00AB5A4D">
        <w:rPr>
          <w:rFonts w:cstheme="minorHAnsi"/>
          <w:sz w:val="24"/>
          <w:szCs w:val="24"/>
        </w:rPr>
        <w:t xml:space="preserve"> </w:t>
      </w:r>
      <w:r w:rsidRPr="00AB5A4D">
        <w:rPr>
          <w:rFonts w:cstheme="minorHAnsi"/>
          <w:sz w:val="24"/>
          <w:szCs w:val="24"/>
        </w:rPr>
        <w:t xml:space="preserve">wystarczające jest wskazanie </w:t>
      </w:r>
      <w:r w:rsidR="003E370F" w:rsidRPr="00AB5A4D">
        <w:rPr>
          <w:rFonts w:cstheme="minorHAnsi"/>
          <w:sz w:val="24"/>
          <w:szCs w:val="24"/>
        </w:rPr>
        <w:t>element</w:t>
      </w:r>
      <w:r w:rsidR="00317BB1" w:rsidRPr="00AB5A4D">
        <w:rPr>
          <w:rFonts w:cstheme="minorHAnsi"/>
          <w:sz w:val="24"/>
          <w:szCs w:val="24"/>
        </w:rPr>
        <w:t>ów wchodzących w skład zestawu. W przypadku</w:t>
      </w:r>
      <w:r w:rsidR="006E29A5" w:rsidRPr="00AB5A4D">
        <w:rPr>
          <w:rFonts w:cstheme="minorHAnsi"/>
          <w:sz w:val="24"/>
          <w:szCs w:val="24"/>
        </w:rPr>
        <w:t xml:space="preserve"> </w:t>
      </w:r>
      <w:r w:rsidR="00EB032C" w:rsidRPr="00AB5A4D">
        <w:rPr>
          <w:rFonts w:cstheme="minorHAnsi"/>
          <w:sz w:val="24"/>
          <w:szCs w:val="24"/>
        </w:rPr>
        <w:t xml:space="preserve">zestawów </w:t>
      </w:r>
      <w:r w:rsidR="006E29A5" w:rsidRPr="00AB5A4D">
        <w:rPr>
          <w:rFonts w:cstheme="minorHAnsi"/>
          <w:sz w:val="24"/>
          <w:szCs w:val="24"/>
        </w:rPr>
        <w:t>o większej wartości i</w:t>
      </w:r>
      <w:r w:rsidR="00317BB1" w:rsidRPr="00AB5A4D">
        <w:rPr>
          <w:rFonts w:cstheme="minorHAnsi"/>
          <w:sz w:val="24"/>
          <w:szCs w:val="24"/>
        </w:rPr>
        <w:t xml:space="preserve"> zestawów, w których ocena racjonalności jedynie na podstawie określenia elementów składowych może być utrudniona, w</w:t>
      </w:r>
      <w:r w:rsidR="002C0B4F" w:rsidRPr="00AB5A4D">
        <w:rPr>
          <w:rFonts w:cstheme="minorHAnsi"/>
          <w:sz w:val="24"/>
          <w:szCs w:val="24"/>
        </w:rPr>
        <w:t> </w:t>
      </w:r>
      <w:r w:rsidR="00317BB1" w:rsidRPr="00AB5A4D">
        <w:rPr>
          <w:rFonts w:cstheme="minorHAnsi"/>
          <w:sz w:val="24"/>
          <w:szCs w:val="24"/>
        </w:rPr>
        <w:t>uzasadnieniu należy wskazać również ceny jednostkowe</w:t>
      </w:r>
      <w:r w:rsidR="00882A59" w:rsidRPr="00AB5A4D">
        <w:rPr>
          <w:rFonts w:cstheme="minorHAnsi"/>
          <w:sz w:val="24"/>
          <w:szCs w:val="24"/>
        </w:rPr>
        <w:t>, np. w gdy w skład zestawu wchodzą elementy, których ceny jednostkowe nie są publicznie dostępne</w:t>
      </w:r>
      <w:r w:rsidR="001378B1" w:rsidRPr="00AB5A4D">
        <w:rPr>
          <w:rFonts w:cstheme="minorHAnsi"/>
          <w:sz w:val="24"/>
          <w:szCs w:val="24"/>
        </w:rPr>
        <w:t xml:space="preserve"> lub</w:t>
      </w:r>
      <w:r w:rsidR="00882A59" w:rsidRPr="00AB5A4D">
        <w:rPr>
          <w:rFonts w:cstheme="minorHAnsi"/>
          <w:sz w:val="24"/>
          <w:szCs w:val="24"/>
        </w:rPr>
        <w:t xml:space="preserve"> </w:t>
      </w:r>
      <w:r w:rsidR="001378B1" w:rsidRPr="00AB5A4D">
        <w:rPr>
          <w:rFonts w:cstheme="minorHAnsi"/>
          <w:sz w:val="24"/>
          <w:szCs w:val="24"/>
        </w:rPr>
        <w:t>gdy</w:t>
      </w:r>
      <w:r w:rsidR="00882A59" w:rsidRPr="00AB5A4D">
        <w:rPr>
          <w:rFonts w:cstheme="minorHAnsi"/>
          <w:sz w:val="24"/>
          <w:szCs w:val="24"/>
        </w:rPr>
        <w:t xml:space="preserve"> istnieją wątpliwości co d</w:t>
      </w:r>
      <w:r w:rsidR="001378B1" w:rsidRPr="00AB5A4D">
        <w:rPr>
          <w:rFonts w:cstheme="minorHAnsi"/>
          <w:sz w:val="24"/>
          <w:szCs w:val="24"/>
        </w:rPr>
        <w:t>o sposobu kalkulacji wydatku.</w:t>
      </w:r>
      <w:r w:rsidR="000B430D" w:rsidRPr="00AB5A4D">
        <w:rPr>
          <w:rFonts w:cstheme="minorHAnsi"/>
          <w:sz w:val="24"/>
          <w:szCs w:val="24"/>
        </w:rPr>
        <w:t xml:space="preserve"> 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7"/>
        <w:gridCol w:w="7265"/>
      </w:tblGrid>
      <w:tr w:rsidR="008974D1" w:rsidRPr="00AB5A4D" w14:paraId="0C629364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3F275FFD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Nr poz. 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649A3EA8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1 - Wyposażenie pracowni przyrodniczej</w:t>
            </w:r>
          </w:p>
        </w:tc>
      </w:tr>
      <w:tr w:rsidR="008974D1" w:rsidRPr="00AB5A4D" w14:paraId="2E31699D" w14:textId="77777777" w:rsidTr="00E808A8">
        <w:trPr>
          <w:trHeight w:val="667"/>
        </w:trPr>
        <w:tc>
          <w:tcPr>
            <w:tcW w:w="1797" w:type="dxa"/>
            <w:shd w:val="clear" w:color="auto" w:fill="D9D9D9" w:themeFill="background1" w:themeFillShade="D9"/>
          </w:tcPr>
          <w:p w14:paraId="3CBD2D6F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Uzasadnienie</w:t>
            </w:r>
          </w:p>
        </w:tc>
        <w:tc>
          <w:tcPr>
            <w:tcW w:w="7265" w:type="dxa"/>
          </w:tcPr>
          <w:p w14:paraId="4084C774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W skład zestawu wchodzą: </w:t>
            </w:r>
          </w:p>
          <w:p w14:paraId="40E47599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czajnik elektryczny: 1 szt.*180 zł = 180 zł</w:t>
            </w:r>
          </w:p>
          <w:p w14:paraId="17803ADD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lornetka: 3 szt.*250 zł = 750 zł</w:t>
            </w:r>
          </w:p>
          <w:p w14:paraId="2D5EE051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lupa: 6 szt.*10 zł = 60 zł</w:t>
            </w:r>
          </w:p>
          <w:p w14:paraId="2BD04776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waga laboratoryjna: 1 szt.*250 zł = 250 zł</w:t>
            </w:r>
          </w:p>
          <w:p w14:paraId="70525102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termometr laboratoryjny: 6 szt.*150 zł = 900 zł</w:t>
            </w:r>
          </w:p>
          <w:p w14:paraId="20FA9D15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odczynniki chemiczne: 1 zestaw*1000 zł = 1000 zł </w:t>
            </w:r>
          </w:p>
          <w:p w14:paraId="49690313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zestaw do pomiaru jakości wody: 6 zestawów*400 zł = 2400 zł </w:t>
            </w:r>
          </w:p>
          <w:p w14:paraId="5CA7BE93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zestaw do pomiaru jakości gleby: 6 zestawów*350 zł = 2100 zł</w:t>
            </w:r>
          </w:p>
          <w:p w14:paraId="2A4702F7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szkło laboratoryjne: 6 zestawów*500 zł = 3000 zł </w:t>
            </w:r>
          </w:p>
          <w:p w14:paraId="01499759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suszarka do probówek: 1 szt.*100 zł = 100 zł</w:t>
            </w:r>
          </w:p>
          <w:p w14:paraId="7F3FEE18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statywy do probówek: 6 szt.*35 zł = 210 zł </w:t>
            </w:r>
          </w:p>
          <w:p w14:paraId="529E1AD6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wskaźnik laserowy: 1 szt.*150 zł = 150 zł</w:t>
            </w:r>
          </w:p>
          <w:p w14:paraId="16785C63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mikroskop steroskopowy: 3 szt.*800 zł = 2400 zł</w:t>
            </w:r>
          </w:p>
          <w:p w14:paraId="227CF0DF" w14:textId="7E1B2259" w:rsidR="008974D1" w:rsidRPr="00AB5A4D" w:rsidRDefault="005935F2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Łącznie 13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500 zł. </w:t>
            </w:r>
          </w:p>
        </w:tc>
      </w:tr>
      <w:tr w:rsidR="008974D1" w:rsidRPr="00AB5A4D" w14:paraId="7965D571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38AD7444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Nr poz. 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71523270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2 - Pomoce dydaktyczne do kształcenia uczniów ze specjalnymi potrzebami rozwojowymi</w:t>
            </w:r>
          </w:p>
        </w:tc>
      </w:tr>
      <w:tr w:rsidR="008974D1" w:rsidRPr="00AB5A4D" w14:paraId="0941AE06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52BA3979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lastRenderedPageBreak/>
              <w:t>Uzasadnienie</w:t>
            </w:r>
          </w:p>
        </w:tc>
        <w:tc>
          <w:tcPr>
            <w:tcW w:w="7265" w:type="dxa"/>
          </w:tcPr>
          <w:p w14:paraId="4D3BC6AD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W skład zestawu wchodzą: podręczniki, pakiety ćwiczeń, filmy, gry edukacyjne. </w:t>
            </w:r>
          </w:p>
        </w:tc>
      </w:tr>
    </w:tbl>
    <w:p w14:paraId="1E4A5F48" w14:textId="37BDC11F" w:rsidR="000020FD" w:rsidRPr="00AB5A4D" w:rsidRDefault="00C70D2D" w:rsidP="00AB5A4D">
      <w:pPr>
        <w:spacing w:before="120" w:after="120"/>
        <w:rPr>
          <w:rFonts w:cstheme="minorHAnsi"/>
          <w:bCs/>
          <w:sz w:val="24"/>
          <w:szCs w:val="24"/>
        </w:rPr>
      </w:pPr>
      <w:r w:rsidRPr="00AB5A4D">
        <w:rPr>
          <w:rFonts w:cstheme="minorHAnsi"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52CF" w:rsidRPr="00AB5A4D" w14:paraId="3E56C6AA" w14:textId="77777777" w:rsidTr="00990630">
        <w:tc>
          <w:tcPr>
            <w:tcW w:w="9212" w:type="dxa"/>
            <w:shd w:val="clear" w:color="auto" w:fill="BFBFBF" w:themeFill="background1" w:themeFillShade="BF"/>
          </w:tcPr>
          <w:p w14:paraId="40209DE9" w14:textId="77777777" w:rsidR="006452CF" w:rsidRPr="00AB5A4D" w:rsidRDefault="006452CF" w:rsidP="00AB5A4D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B5A4D">
              <w:rPr>
                <w:rFonts w:cstheme="minorHAnsi"/>
                <w:b/>
                <w:sz w:val="24"/>
                <w:szCs w:val="24"/>
              </w:rPr>
              <w:t>Nazwy kosztów w budżecie projektu</w:t>
            </w:r>
          </w:p>
        </w:tc>
      </w:tr>
    </w:tbl>
    <w:p w14:paraId="662CCB2E" w14:textId="77777777" w:rsidR="006452CF" w:rsidRPr="00AB5A4D" w:rsidRDefault="006452CF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Wnioskodawca nie powinien wskazywać w szczegółowym budżecie projektu informacji typu forma zaangażowania, liczba godzin zajęć, liczba grup zajęciowych, liczba osób na zajęciach, częstotliwość zajęć, cena jednostkowa itp. Informacje te należy wykazywać w uzasadnieniach dla poszczególnych wydatków pod szczegółowym budżetem projektu. Zgodnie z zaleceniami IK UP do centralnego systemu teleinformatycznego SL2014 nazwy pozycji powinny być odpowiednio ogólne tak, aby drobne zmiany, które pojawiają się w trakcie realizacji projektu nie wiązały się ze zmianą nazw kosztów.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35F2" w:rsidRPr="00AB5A4D" w14:paraId="0455BF74" w14:textId="77777777" w:rsidTr="00EC251E">
        <w:tc>
          <w:tcPr>
            <w:tcW w:w="9062" w:type="dxa"/>
            <w:shd w:val="clear" w:color="auto" w:fill="D9D9D9" w:themeFill="background1" w:themeFillShade="D9"/>
          </w:tcPr>
          <w:p w14:paraId="4A0D8936" w14:textId="77777777" w:rsidR="005935F2" w:rsidRPr="00AB5A4D" w:rsidRDefault="005935F2" w:rsidP="00AB5A4D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B5A4D">
              <w:rPr>
                <w:rFonts w:cstheme="minorHAnsi"/>
                <w:b/>
                <w:sz w:val="24"/>
                <w:szCs w:val="24"/>
              </w:rPr>
              <w:t>Cross-financing</w:t>
            </w:r>
          </w:p>
        </w:tc>
      </w:tr>
    </w:tbl>
    <w:p w14:paraId="2021D29E" w14:textId="77777777" w:rsidR="005935F2" w:rsidRPr="00AB5A4D" w:rsidRDefault="005935F2" w:rsidP="00AB5A4D">
      <w:pPr>
        <w:autoSpaceDE w:val="0"/>
        <w:autoSpaceDN w:val="0"/>
        <w:adjustRightInd w:val="0"/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 xml:space="preserve">Zgodnie z Wytycznymi w przypadku projektów współfinansowanych z EFS </w:t>
      </w:r>
      <w:r w:rsidRPr="00AB5A4D">
        <w:rPr>
          <w:rFonts w:cstheme="minorHAnsi"/>
          <w:b/>
          <w:sz w:val="24"/>
          <w:szCs w:val="24"/>
        </w:rPr>
        <w:t>cross-financing</w:t>
      </w:r>
      <w:r w:rsidRPr="00AB5A4D">
        <w:rPr>
          <w:rFonts w:cstheme="minorHAnsi"/>
          <w:sz w:val="24"/>
          <w:szCs w:val="24"/>
        </w:rPr>
        <w:t xml:space="preserve"> może dotyczyć wyłącznie:</w:t>
      </w:r>
    </w:p>
    <w:p w14:paraId="4C99CC38" w14:textId="77777777" w:rsidR="005935F2" w:rsidRPr="00AB5A4D" w:rsidRDefault="005935F2" w:rsidP="00AB5A4D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rFonts w:cstheme="minorHAnsi"/>
          <w:noProof/>
          <w:sz w:val="24"/>
          <w:szCs w:val="24"/>
        </w:rPr>
      </w:pPr>
      <w:r w:rsidRPr="00AB5A4D">
        <w:rPr>
          <w:rFonts w:cstheme="minorHAnsi"/>
          <w:sz w:val="24"/>
          <w:szCs w:val="24"/>
        </w:rPr>
        <w:t>zakupu nieruchomości,</w:t>
      </w:r>
    </w:p>
    <w:p w14:paraId="433C4B7F" w14:textId="77777777" w:rsidR="005935F2" w:rsidRPr="00AB5A4D" w:rsidRDefault="005935F2" w:rsidP="00AB5A4D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zakupu infrastruktury, przy czym poprzez infrastrukturę rozumie się elementy nieprzenośne, na stałe przytwierdzone do nieruchomości, np. wykonanie podjazdu do budynku, zainstalowanie windy w budynku,</w:t>
      </w:r>
    </w:p>
    <w:p w14:paraId="7B292817" w14:textId="77777777" w:rsidR="005935F2" w:rsidRPr="00AB5A4D" w:rsidRDefault="005935F2" w:rsidP="00AB5A4D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rFonts w:cstheme="minorHAnsi"/>
          <w:noProof/>
          <w:sz w:val="24"/>
          <w:szCs w:val="24"/>
        </w:rPr>
      </w:pPr>
      <w:r w:rsidRPr="00AB5A4D">
        <w:rPr>
          <w:rFonts w:cstheme="minorHAnsi"/>
          <w:sz w:val="24"/>
          <w:szCs w:val="24"/>
        </w:rPr>
        <w:t>dostosowania lub adaptacji (prace remontowo-wykończeniowe) budynków i pomieszczeń.</w:t>
      </w:r>
    </w:p>
    <w:p w14:paraId="4F1F4EDA" w14:textId="77777777" w:rsidR="005935F2" w:rsidRPr="00AB5A4D" w:rsidRDefault="005935F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IZ RPO WK-P informuje, iż do kosztów związanych z cross-financingiem w zakresie dostosowania lub adaptacji pomieszczeń, oprócz kosztów związanych z pracami remontowo-wykończeniowymi, należy zaliczyć takie koszty w budżecie, jak: zlewy, krany, meble pod wymiar i zabudowę itp., które są na stałe przytwierdzone do ścian/budynku.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0C12" w:rsidRPr="00AB5A4D" w14:paraId="2770189A" w14:textId="77777777" w:rsidTr="002A71C1">
        <w:tc>
          <w:tcPr>
            <w:tcW w:w="9062" w:type="dxa"/>
            <w:shd w:val="clear" w:color="auto" w:fill="BFBFBF" w:themeFill="background1" w:themeFillShade="BF"/>
          </w:tcPr>
          <w:p w14:paraId="22F4E133" w14:textId="690DA1CB" w:rsidR="00790C12" w:rsidRPr="00AB5A4D" w:rsidRDefault="00790C12" w:rsidP="00AB5A4D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B5A4D">
              <w:rPr>
                <w:rFonts w:cstheme="minorHAnsi"/>
                <w:b/>
                <w:sz w:val="24"/>
                <w:szCs w:val="24"/>
              </w:rPr>
              <w:t>Wydatki inwestycyjne</w:t>
            </w:r>
          </w:p>
        </w:tc>
      </w:tr>
    </w:tbl>
    <w:p w14:paraId="2273A61B" w14:textId="5C1093DA" w:rsidR="00790C12" w:rsidRPr="00AB5A4D" w:rsidRDefault="00142096" w:rsidP="00AB5A4D">
      <w:pPr>
        <w:spacing w:before="120" w:after="120"/>
        <w:contextualSpacing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 xml:space="preserve">1. </w:t>
      </w:r>
      <w:r w:rsidR="00790C12" w:rsidRPr="00AB5A4D">
        <w:rPr>
          <w:rFonts w:cstheme="minorHAnsi"/>
          <w:b/>
          <w:sz w:val="24"/>
          <w:szCs w:val="24"/>
        </w:rPr>
        <w:t>W przypadku jednostek spoza sektora finansów publicznych</w:t>
      </w:r>
      <w:r w:rsidR="00790C12" w:rsidRPr="00AB5A4D">
        <w:rPr>
          <w:rFonts w:cstheme="minorHAnsi"/>
          <w:sz w:val="24"/>
          <w:szCs w:val="24"/>
        </w:rPr>
        <w:t xml:space="preserve"> </w:t>
      </w:r>
      <w:r w:rsidR="00790C12" w:rsidRPr="00AB5A4D">
        <w:rPr>
          <w:rFonts w:cstheme="minorHAnsi"/>
          <w:b/>
          <w:sz w:val="24"/>
          <w:szCs w:val="24"/>
        </w:rPr>
        <w:t>za wydatki inwestycyjne uznaje się wydatki planowane do poniesienia w ramach kategorii cross-financing, których wartość jednostkowa przekracza kwotę 10.000 zł oraz wydatki na zakup środków trwałych</w:t>
      </w:r>
      <w:r w:rsidR="00790C12" w:rsidRPr="00AB5A4D">
        <w:rPr>
          <w:rStyle w:val="Odwoanieprzypisudolnego"/>
          <w:rFonts w:cstheme="minorHAnsi"/>
          <w:b/>
          <w:sz w:val="24"/>
          <w:szCs w:val="24"/>
        </w:rPr>
        <w:footnoteReference w:id="2"/>
      </w:r>
      <w:r w:rsidR="00790C12" w:rsidRPr="00AB5A4D">
        <w:rPr>
          <w:rFonts w:cstheme="minorHAnsi"/>
          <w:b/>
          <w:sz w:val="24"/>
          <w:szCs w:val="24"/>
        </w:rPr>
        <w:t>, których wartość jednostkowa przekracza kwotę 10.000 z</w:t>
      </w:r>
      <w:r w:rsidR="004D5E58" w:rsidRPr="00AB5A4D">
        <w:rPr>
          <w:rFonts w:cstheme="minorHAnsi"/>
          <w:b/>
          <w:sz w:val="24"/>
          <w:szCs w:val="24"/>
        </w:rPr>
        <w:t>ł</w:t>
      </w:r>
      <w:r w:rsidR="00790C12" w:rsidRPr="00AB5A4D">
        <w:rPr>
          <w:rFonts w:cstheme="minorHAnsi"/>
          <w:b/>
          <w:sz w:val="24"/>
          <w:szCs w:val="24"/>
        </w:rPr>
        <w:t xml:space="preserve">. </w:t>
      </w:r>
      <w:r w:rsidR="00790C12" w:rsidRPr="00AB5A4D">
        <w:rPr>
          <w:rFonts w:cstheme="minorHAnsi"/>
          <w:sz w:val="24"/>
          <w:szCs w:val="24"/>
        </w:rPr>
        <w:t xml:space="preserve">Wysokość środków </w:t>
      </w:r>
      <w:r w:rsidR="00790C12" w:rsidRPr="00AB5A4D">
        <w:rPr>
          <w:rFonts w:cstheme="minorHAnsi"/>
          <w:sz w:val="24"/>
          <w:szCs w:val="24"/>
        </w:rPr>
        <w:lastRenderedPageBreak/>
        <w:t xml:space="preserve">przeznaczonych na sfinansowanie wydatków inwestycyjnych będzie określana na podstawie deklaracji składanych przez beneficjentów na etapie podpisywania umowy o dofinansowanie projektu. </w:t>
      </w:r>
    </w:p>
    <w:p w14:paraId="49B828DC" w14:textId="51EC2D75" w:rsidR="00790C12" w:rsidRPr="00AB5A4D" w:rsidRDefault="00790C1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Środki na sfinansowanie wydatków inwestycyjnych ponoszonych przez beneficjentów będących jednostkami spoza sektora finansów publicznych będą przekazywane przez IZ RPO WK-P w paragrafie 620 klasyfikacji budżetowej.</w:t>
      </w:r>
    </w:p>
    <w:p w14:paraId="39044B9A" w14:textId="56DDB406" w:rsidR="00790C12" w:rsidRPr="00AB5A4D" w:rsidRDefault="00790C1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spoza sektora finansów publicznych wydatki inwestycyjne w całości ponoszone będą przez beneficjentów ze środków dofinansowania</w:t>
      </w:r>
      <w:r w:rsidRPr="00AB5A4D">
        <w:rPr>
          <w:rStyle w:val="Odwoanieprzypisudolnego"/>
          <w:rFonts w:cstheme="minorHAnsi"/>
          <w:sz w:val="24"/>
          <w:szCs w:val="24"/>
        </w:rPr>
        <w:footnoteReference w:id="3"/>
      </w:r>
      <w:r w:rsidRPr="00AB5A4D">
        <w:rPr>
          <w:rFonts w:cstheme="minorHAnsi"/>
          <w:sz w:val="24"/>
          <w:szCs w:val="24"/>
        </w:rPr>
        <w:t>, wkład własny natomiast w całości przeznaczony będzie na sfinansowanie ponoszonych przez beneficjentów wydatków bieżących.</w:t>
      </w:r>
    </w:p>
    <w:p w14:paraId="74D517F4" w14:textId="383EE586" w:rsidR="00790C12" w:rsidRPr="00AB5A4D" w:rsidRDefault="00142096" w:rsidP="00AB5A4D">
      <w:pPr>
        <w:spacing w:before="120" w:after="120"/>
        <w:contextualSpacing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 xml:space="preserve">2. </w:t>
      </w:r>
      <w:r w:rsidR="00790C12" w:rsidRPr="00AB5A4D">
        <w:rPr>
          <w:rFonts w:cstheme="minorHAnsi"/>
          <w:b/>
          <w:sz w:val="24"/>
          <w:szCs w:val="24"/>
        </w:rPr>
        <w:t>W przypadku jednostek sektora finansów publicznych – za wydatki inwestycyjne uznaje się wydatki planowane do poniesienia w ramach kategorii cross-financing, których wartość jednostkowa przekracza kwotę 10.000 zł oraz wydatki na zakup środków trwałych</w:t>
      </w:r>
      <w:r w:rsidR="00790C12" w:rsidRPr="00AB5A4D">
        <w:rPr>
          <w:rFonts w:cstheme="minorHAnsi"/>
          <w:b/>
          <w:sz w:val="24"/>
          <w:szCs w:val="24"/>
          <w:vertAlign w:val="superscript"/>
        </w:rPr>
        <w:t>1</w:t>
      </w:r>
      <w:r w:rsidR="00790C12" w:rsidRPr="00AB5A4D">
        <w:rPr>
          <w:rFonts w:cstheme="minorHAnsi"/>
          <w:b/>
          <w:sz w:val="24"/>
          <w:szCs w:val="24"/>
        </w:rPr>
        <w:t>, których wartość jednostkowa przek</w:t>
      </w:r>
      <w:r w:rsidR="004D5E58" w:rsidRPr="00AB5A4D">
        <w:rPr>
          <w:rFonts w:cstheme="minorHAnsi"/>
          <w:b/>
          <w:sz w:val="24"/>
          <w:szCs w:val="24"/>
        </w:rPr>
        <w:t xml:space="preserve">racza kwotę 10.000 zł </w:t>
      </w:r>
      <w:r w:rsidR="00790C12" w:rsidRPr="00AB5A4D">
        <w:rPr>
          <w:rFonts w:cstheme="minorHAnsi"/>
          <w:b/>
          <w:sz w:val="24"/>
          <w:szCs w:val="24"/>
        </w:rPr>
        <w:t>– o ile polityka rachunkowości danej jednostki bądź inne przepisy nie stanowią inaczej.</w:t>
      </w:r>
      <w:r w:rsidR="00790C12" w:rsidRPr="00AB5A4D">
        <w:rPr>
          <w:rFonts w:cstheme="minorHAnsi"/>
          <w:sz w:val="24"/>
          <w:szCs w:val="24"/>
        </w:rPr>
        <w:t xml:space="preserve"> Wysokość środków przeznaczonych na sfinansowanie wydatków inwestycyjnych będzie określana na podstawie deklaracji składanych przez beneficjentów na etapie podpisywania umowy o dofinansowanie projektu.</w:t>
      </w:r>
    </w:p>
    <w:p w14:paraId="2E04D0A5" w14:textId="5B1233EB" w:rsidR="00790C12" w:rsidRPr="00AB5A4D" w:rsidRDefault="00790C1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Środki na sfinansowanie wydatków inwestycyjnych ponoszonych przez beneficjentów będących jednostkami samorządu terytorialnego będą przekazywane przez IZ RPO WK-P w paragrafie 625 klasyfikacji budżetowej, natomiast środki na sfinansowanie wydatków inwestycyjnych ponoszonych przez beneficjentów będących jednostkami sektora finansów publicznych i nie będących jednostkami samorządu terytorialnego będą przekazywane przez IZ RPO WK-P w paragrafie 620 klasyfikacji budżetowej.</w:t>
      </w:r>
    </w:p>
    <w:p w14:paraId="09C51E17" w14:textId="05F018C7" w:rsidR="00790C12" w:rsidRPr="00AB5A4D" w:rsidRDefault="00790C1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sektora finansów publicznych, wydatki inwestycyjne, jak również wydatki bieżące, ponoszone będą przez beneficjentów w podziale na źródła finansowania, zgodnym z metodologią zadeklarowaną przez beneficjentów.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96" w:rsidRPr="00AB5A4D" w14:paraId="266C51A8" w14:textId="77777777" w:rsidTr="00133F9D">
        <w:tc>
          <w:tcPr>
            <w:tcW w:w="9062" w:type="dxa"/>
            <w:shd w:val="clear" w:color="auto" w:fill="BFBFBF" w:themeFill="background1" w:themeFillShade="BF"/>
          </w:tcPr>
          <w:p w14:paraId="4D7F444E" w14:textId="77777777" w:rsidR="00142096" w:rsidRPr="00AB5A4D" w:rsidRDefault="00142096" w:rsidP="00AB5A4D">
            <w:pPr>
              <w:pStyle w:val="Nagwek3"/>
              <w:spacing w:before="120" w:after="120" w:line="276" w:lineRule="auto"/>
              <w:jc w:val="left"/>
              <w:outlineLvl w:val="2"/>
              <w:rPr>
                <w:rFonts w:asciiTheme="minorHAnsi" w:hAnsiTheme="minorHAnsi" w:cstheme="minorHAnsi"/>
                <w:noProof/>
                <w:lang w:val="pl-PL"/>
              </w:rPr>
            </w:pPr>
            <w:r w:rsidRPr="00AB5A4D">
              <w:rPr>
                <w:rFonts w:asciiTheme="minorHAnsi" w:hAnsiTheme="minorHAnsi" w:cstheme="minorHAnsi"/>
                <w:noProof/>
                <w:lang w:val="pl-PL"/>
              </w:rPr>
              <w:lastRenderedPageBreak/>
              <w:t xml:space="preserve">Zakaz podwójnego finansowania  </w:t>
            </w:r>
          </w:p>
        </w:tc>
      </w:tr>
    </w:tbl>
    <w:p w14:paraId="2ECF22C8" w14:textId="77777777" w:rsidR="00142096" w:rsidRPr="00AB5A4D" w:rsidRDefault="00142096" w:rsidP="00AB5A4D">
      <w:p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W ramach projektów współfinansowanych ze środków Unii Europejskiej niedozwolone jest podwójne finansowanie wydatków. Podwójne finansowanie oznacza w szczególności:</w:t>
      </w:r>
    </w:p>
    <w:p w14:paraId="5B760F32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całkowite lub częściowe, więcej niż jednokrotne poświadczenie, zrefundowanie lub rozliczenie tego samego wydatku w ramach dofinansowania lub wkładu własnego tego samego lub różnych projektów współfinansowanych ze środków funduszy strukturalnych lub Funduszu Spójności lub/oraz dotacji z krajowych środków publicznych,</w:t>
      </w:r>
    </w:p>
    <w:p w14:paraId="5B31E860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otrzymanie na wydatki kwalifikowalne danego projektu lub części projektu bezzwrotnej pomocy finansowej z kilku źródeł (krajowych, unijnych lub innych) w wysokości łącznie wyższej niż 100% wydatków kwalifikowalnych projektu lub części projektu,</w:t>
      </w:r>
    </w:p>
    <w:p w14:paraId="24AC8457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poświadczenie, zrefundowanie lub rozliczenie kosztów podatku VAT ze środków funduszy strukturalnych lub Funduszu Spójności, a następnie odzyskanie tego podatku ze środków budżetu państwa na podstawie ustawy z dnia 11 marca 2004 r. o podatku od towarów i usług,</w:t>
      </w:r>
    </w:p>
    <w:p w14:paraId="095DD2CD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zakupienie środka trwałego z udziałem środków unijnych lub/oraz dotacji z krajowych środków publicznych, a następnie rozliczenie kosztów amortyzacji tego środka trwałego w ramach tego samego projektu lub innych współfinansowanych ze środków Unii Europejskiej,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142096" w:rsidRPr="00AB5A4D" w14:paraId="73CE1454" w14:textId="77777777" w:rsidTr="000F6C3D">
        <w:trPr>
          <w:trHeight w:val="1675"/>
        </w:trPr>
        <w:tc>
          <w:tcPr>
            <w:tcW w:w="8954" w:type="dxa"/>
            <w:shd w:val="clear" w:color="auto" w:fill="F2F2F2"/>
          </w:tcPr>
          <w:p w14:paraId="3B923A29" w14:textId="77777777" w:rsidR="00142096" w:rsidRPr="00AB5A4D" w:rsidRDefault="00142096" w:rsidP="00AB5A4D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b/>
                <w:sz w:val="24"/>
                <w:szCs w:val="24"/>
              </w:rPr>
              <w:t>UWAGA!</w:t>
            </w:r>
            <w:r w:rsidRPr="00AB5A4D">
              <w:rPr>
                <w:rFonts w:cstheme="minorHAnsi"/>
                <w:sz w:val="24"/>
                <w:szCs w:val="24"/>
              </w:rPr>
              <w:br/>
              <w:t>Oznacza to także, że niedozwolona jest sytuacja, w której najpierw środek trwały został nabyty z udziałem środków unijnych, a następnie odpisy amortyzacyjne od pełnej wartości danego środka trwałego zostały zaliczone do kosztów uzyskania przychodów, bez pomniejszenia wartości środka trwałego o otrzymane dofinansowanie.</w:t>
            </w:r>
          </w:p>
        </w:tc>
      </w:tr>
    </w:tbl>
    <w:p w14:paraId="43EEC7C3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zrefundowanie wydatku poniesionego przez leasingodawcę na zakup przedmiotu leasingu w ramach leasingu finansowego, a następnie zrefundowanie rat opłacanych przez beneficjenta w związku z leasingiem tego przedmiotu,</w:t>
      </w:r>
    </w:p>
    <w:p w14:paraId="3A725763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sytuacja, w której środki na prefinansowanie wkładu unijnego zostały pozyskane w formie kredytu lub pożyczki, które następnie zostały umorzone,</w:t>
      </w:r>
    </w:p>
    <w:p w14:paraId="4F8F38BF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objęcie kosztów kwalifikowalnych projektu jednocześnie wsparciem pożyczkowym i gwarancyjnym,</w:t>
      </w:r>
    </w:p>
    <w:p w14:paraId="4480D1AD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zakup używanego środka trwałego, który w ciągu 7 poprzednich lat (10 lat dla nieruchomości) był współfinansowany ze środków Unii Europejskiej lub/oraz dotacji z krajowych środków publicznych,</w:t>
      </w:r>
    </w:p>
    <w:p w14:paraId="1CF8AEF8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lastRenderedPageBreak/>
        <w:t>rozliczenie tego samego wydatku w kosztach pośrednich oraz kosztach bezpośrednich projektu.</w:t>
      </w:r>
    </w:p>
    <w:p w14:paraId="1D586DAA" w14:textId="77777777" w:rsidR="00142096" w:rsidRPr="00AB5A4D" w:rsidRDefault="00142096" w:rsidP="00AB5A4D">
      <w:pPr>
        <w:spacing w:before="120" w:after="120"/>
        <w:rPr>
          <w:rFonts w:cstheme="minorHAnsi"/>
          <w:sz w:val="24"/>
          <w:szCs w:val="24"/>
        </w:rPr>
      </w:pPr>
    </w:p>
    <w:sectPr w:rsidR="00142096" w:rsidRPr="00AB5A4D" w:rsidSect="005E01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A257D" w14:textId="77777777" w:rsidR="00EA155C" w:rsidRPr="00A449D2" w:rsidRDefault="00EA155C" w:rsidP="00A449D2">
      <w:pPr>
        <w:spacing w:after="0" w:line="240" w:lineRule="auto"/>
      </w:pPr>
      <w:r>
        <w:separator/>
      </w:r>
    </w:p>
  </w:endnote>
  <w:endnote w:type="continuationSeparator" w:id="0">
    <w:p w14:paraId="5CF5313F" w14:textId="77777777" w:rsidR="00EA155C" w:rsidRPr="00A449D2" w:rsidRDefault="00EA155C" w:rsidP="00A4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7BB2C" w14:textId="77777777" w:rsidR="00FC700E" w:rsidRDefault="00FC70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B28D7" w14:textId="77777777" w:rsidR="00FC700E" w:rsidRDefault="00FC70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CC0F1E" w14:textId="77777777" w:rsidR="00FC700E" w:rsidRDefault="00FC70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B4D7C" w14:textId="77777777" w:rsidR="00EA155C" w:rsidRPr="00A449D2" w:rsidRDefault="00EA155C" w:rsidP="00A449D2">
      <w:pPr>
        <w:spacing w:after="0" w:line="240" w:lineRule="auto"/>
      </w:pPr>
      <w:r>
        <w:separator/>
      </w:r>
    </w:p>
  </w:footnote>
  <w:footnote w:type="continuationSeparator" w:id="0">
    <w:p w14:paraId="22EC4D7F" w14:textId="77777777" w:rsidR="00EA155C" w:rsidRPr="00A449D2" w:rsidRDefault="00EA155C" w:rsidP="00A449D2">
      <w:pPr>
        <w:spacing w:after="0" w:line="240" w:lineRule="auto"/>
      </w:pPr>
      <w:r>
        <w:continuationSeparator/>
      </w:r>
    </w:p>
  </w:footnote>
  <w:footnote w:id="1">
    <w:p w14:paraId="5DC23062" w14:textId="57F75B36" w:rsidR="007B59F8" w:rsidRPr="007B59F8" w:rsidRDefault="007B59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Dotyczy to zakupu materiałów ulegających zużyciu, wyczerpaniu lub degradacji w wyniku normalnej eksploatacji w czasie realizacji zadań stażowych, w przypadku gdy brak ich finansowania w projekcie skutkowałby zubożeniem praktycznego wymiaru stażu; powinny to być wyłącznie materiały w ilości niezbędnej i ściśle powiązanej z programem kształcenia i</w:t>
      </w:r>
      <w:r>
        <w:rPr>
          <w:sz w:val="18"/>
          <w:szCs w:val="18"/>
          <w:lang w:val="pl-PL"/>
        </w:rPr>
        <w:t> </w:t>
      </w:r>
      <w:r>
        <w:rPr>
          <w:sz w:val="18"/>
          <w:szCs w:val="18"/>
        </w:rPr>
        <w:t xml:space="preserve">programem stażu. </w:t>
      </w:r>
      <w:r>
        <w:t xml:space="preserve"> </w:t>
      </w:r>
    </w:p>
  </w:footnote>
  <w:footnote w:id="2">
    <w:p w14:paraId="6A200B28" w14:textId="642A0BF8" w:rsidR="00790C12" w:rsidRPr="00790C12" w:rsidRDefault="00790C12" w:rsidP="00133F9D">
      <w:pPr>
        <w:spacing w:after="0" w:line="240" w:lineRule="auto"/>
        <w:rPr>
          <w:rFonts w:ascii="Calibri" w:hAnsi="Calibri"/>
          <w:sz w:val="18"/>
          <w:szCs w:val="18"/>
        </w:rPr>
      </w:pPr>
      <w:r w:rsidRPr="00790C12">
        <w:rPr>
          <w:rStyle w:val="Odwoanieprzypisudolnego"/>
          <w:rFonts w:ascii="Calibri" w:hAnsi="Calibri"/>
          <w:sz w:val="18"/>
          <w:szCs w:val="18"/>
        </w:rPr>
        <w:footnoteRef/>
      </w:r>
      <w:r w:rsidRPr="00790C12">
        <w:rPr>
          <w:rFonts w:ascii="Calibri" w:hAnsi="Calibri"/>
          <w:sz w:val="18"/>
          <w:szCs w:val="18"/>
        </w:rPr>
        <w:t xml:space="preserve"> Środki trwałe - zgodnie z art. 3 ust. 1 pkt 15 ustawy z dnia 29 w</w:t>
      </w:r>
      <w:r w:rsidR="001B187E">
        <w:rPr>
          <w:rFonts w:ascii="Calibri" w:hAnsi="Calibri"/>
          <w:sz w:val="18"/>
          <w:szCs w:val="18"/>
        </w:rPr>
        <w:t>rześnia 1994 r. o rachunkowości</w:t>
      </w:r>
      <w:r w:rsidRPr="00790C12">
        <w:rPr>
          <w:rFonts w:ascii="Calibri" w:hAnsi="Calibri"/>
          <w:sz w:val="18"/>
          <w:szCs w:val="18"/>
        </w:rPr>
        <w:t xml:space="preserve">, z zastrzeżeniem inwestycji, o których mowa w art. 3 ust. 1 pkt 17 tej ustawy, rzeczowe aktywa trwałe i zrównane z nimi o przewidywanym okresie ekonomicznej użyteczności dłuższym niż rok, kompletne, zdatne do użytku i przeznaczone na potrzeby jednostki organizacyjnej; zalicza się do nich w szczególności: nieruchomości – w tym grunty, prawo użytkowania wieczystego gruntu, budynki i budowle, a także będące odrębną własności lokale, spółdzielcze prawo własnościowe do lokalu mieszkalnego oraz spółdzielcze prawo do lokalu użytkowego, maszyny, urządzenia, środki transportu i inne rzeczy, ulepszenia w obcych środkach trwałych, inwentarz żywy. </w:t>
      </w:r>
    </w:p>
  </w:footnote>
  <w:footnote w:id="3">
    <w:p w14:paraId="6A58DD36" w14:textId="77777777" w:rsidR="00790C12" w:rsidRPr="00695713" w:rsidRDefault="00790C12" w:rsidP="00133F9D">
      <w:pPr>
        <w:pStyle w:val="Tekstprzypisudolnego"/>
        <w:rPr>
          <w:rFonts w:ascii="Times New Roman" w:hAnsi="Times New Roman"/>
          <w:sz w:val="16"/>
          <w:szCs w:val="16"/>
        </w:rPr>
      </w:pPr>
      <w:r w:rsidRPr="00790C12">
        <w:rPr>
          <w:rStyle w:val="Odwoanieprzypisudolnego"/>
          <w:sz w:val="18"/>
          <w:szCs w:val="18"/>
        </w:rPr>
        <w:footnoteRef/>
      </w:r>
      <w:r w:rsidRPr="00790C12">
        <w:rPr>
          <w:sz w:val="18"/>
          <w:szCs w:val="18"/>
        </w:rPr>
        <w:t xml:space="preserve"> Z wyłączeniem sytuacji, w których beneficjenci będący jednostkami spoza sektora finansów publicznych będą wnosić do projektu wkład własny w postaci środków trwałych.</w:t>
      </w:r>
      <w:r w:rsidRPr="00695713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9286D" w14:textId="77777777" w:rsidR="00FC700E" w:rsidRDefault="00FC70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93BCE" w14:textId="77777777" w:rsidR="00FC700E" w:rsidRDefault="00FC70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09841" w14:textId="77777777" w:rsidR="005E010C" w:rsidRDefault="005E010C">
    <w:pPr>
      <w:pStyle w:val="Nagwek"/>
    </w:pPr>
    <w:r w:rsidRPr="003F48CD">
      <w:rPr>
        <w:noProof/>
        <w:lang w:eastAsia="pl-PL"/>
      </w:rPr>
      <w:drawing>
        <wp:inline distT="0" distB="0" distL="0" distR="0" wp14:anchorId="4A76C11B" wp14:editId="355EE95B">
          <wp:extent cx="5760720" cy="817245"/>
          <wp:effectExtent l="0" t="0" r="0" b="190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6BC5"/>
    <w:multiLevelType w:val="hybridMultilevel"/>
    <w:tmpl w:val="F810315E"/>
    <w:lvl w:ilvl="0" w:tplc="853E0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711EDE"/>
    <w:multiLevelType w:val="hybridMultilevel"/>
    <w:tmpl w:val="AEA4384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631B2"/>
    <w:multiLevelType w:val="hybridMultilevel"/>
    <w:tmpl w:val="59BA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F5245"/>
    <w:multiLevelType w:val="hybridMultilevel"/>
    <w:tmpl w:val="F3F8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F2913"/>
    <w:multiLevelType w:val="hybridMultilevel"/>
    <w:tmpl w:val="FF0C13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A5529EE"/>
    <w:multiLevelType w:val="hybridMultilevel"/>
    <w:tmpl w:val="CEE00A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C0714"/>
    <w:multiLevelType w:val="hybridMultilevel"/>
    <w:tmpl w:val="C396E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808ED"/>
    <w:multiLevelType w:val="hybridMultilevel"/>
    <w:tmpl w:val="62F26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F5C8E"/>
    <w:multiLevelType w:val="hybridMultilevel"/>
    <w:tmpl w:val="0BBEB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E7"/>
    <w:rsid w:val="000020FD"/>
    <w:rsid w:val="000234B2"/>
    <w:rsid w:val="00024D90"/>
    <w:rsid w:val="00026E9B"/>
    <w:rsid w:val="00041716"/>
    <w:rsid w:val="000426A4"/>
    <w:rsid w:val="00053C45"/>
    <w:rsid w:val="00061B95"/>
    <w:rsid w:val="00063790"/>
    <w:rsid w:val="00066EAF"/>
    <w:rsid w:val="000706E9"/>
    <w:rsid w:val="00094990"/>
    <w:rsid w:val="000B430D"/>
    <w:rsid w:val="000B5C15"/>
    <w:rsid w:val="000D063A"/>
    <w:rsid w:val="000E003F"/>
    <w:rsid w:val="000E09E1"/>
    <w:rsid w:val="000E50A3"/>
    <w:rsid w:val="000E7CF2"/>
    <w:rsid w:val="000F6439"/>
    <w:rsid w:val="000F6C3D"/>
    <w:rsid w:val="000F77E7"/>
    <w:rsid w:val="00101B1E"/>
    <w:rsid w:val="00107343"/>
    <w:rsid w:val="00113AF7"/>
    <w:rsid w:val="0011616B"/>
    <w:rsid w:val="001250C4"/>
    <w:rsid w:val="00126AA3"/>
    <w:rsid w:val="001329B9"/>
    <w:rsid w:val="00133F9D"/>
    <w:rsid w:val="00135DEE"/>
    <w:rsid w:val="001378B1"/>
    <w:rsid w:val="00142096"/>
    <w:rsid w:val="001457B7"/>
    <w:rsid w:val="00146641"/>
    <w:rsid w:val="001552BC"/>
    <w:rsid w:val="00186DC3"/>
    <w:rsid w:val="00187D0D"/>
    <w:rsid w:val="00194B9B"/>
    <w:rsid w:val="001B187E"/>
    <w:rsid w:val="001B2E2E"/>
    <w:rsid w:val="001B5959"/>
    <w:rsid w:val="001C0525"/>
    <w:rsid w:val="001C645B"/>
    <w:rsid w:val="001C7AD2"/>
    <w:rsid w:val="001D741C"/>
    <w:rsid w:val="001E2AA8"/>
    <w:rsid w:val="001F0233"/>
    <w:rsid w:val="001F08D9"/>
    <w:rsid w:val="001F1E5E"/>
    <w:rsid w:val="001F4246"/>
    <w:rsid w:val="0021033D"/>
    <w:rsid w:val="00227784"/>
    <w:rsid w:val="00231098"/>
    <w:rsid w:val="0024013C"/>
    <w:rsid w:val="00250DB2"/>
    <w:rsid w:val="00261415"/>
    <w:rsid w:val="0027401C"/>
    <w:rsid w:val="00277447"/>
    <w:rsid w:val="00284C9C"/>
    <w:rsid w:val="00284CE0"/>
    <w:rsid w:val="00293DCB"/>
    <w:rsid w:val="002A71C1"/>
    <w:rsid w:val="002A7EBC"/>
    <w:rsid w:val="002B2FF5"/>
    <w:rsid w:val="002C0B4F"/>
    <w:rsid w:val="002E3347"/>
    <w:rsid w:val="002E6C6B"/>
    <w:rsid w:val="003007C0"/>
    <w:rsid w:val="00302BDD"/>
    <w:rsid w:val="00312F1A"/>
    <w:rsid w:val="0031425A"/>
    <w:rsid w:val="00316BCF"/>
    <w:rsid w:val="00317BB1"/>
    <w:rsid w:val="00320698"/>
    <w:rsid w:val="00326E37"/>
    <w:rsid w:val="00330C45"/>
    <w:rsid w:val="003324D8"/>
    <w:rsid w:val="00340ADB"/>
    <w:rsid w:val="00344FC2"/>
    <w:rsid w:val="00360451"/>
    <w:rsid w:val="003701ED"/>
    <w:rsid w:val="0037725C"/>
    <w:rsid w:val="00380438"/>
    <w:rsid w:val="003C7367"/>
    <w:rsid w:val="003D6FC7"/>
    <w:rsid w:val="003E370F"/>
    <w:rsid w:val="003F102F"/>
    <w:rsid w:val="003F48CD"/>
    <w:rsid w:val="003F4B5A"/>
    <w:rsid w:val="003F7936"/>
    <w:rsid w:val="00400EE6"/>
    <w:rsid w:val="00415F82"/>
    <w:rsid w:val="00430D91"/>
    <w:rsid w:val="00437D2C"/>
    <w:rsid w:val="00440B40"/>
    <w:rsid w:val="004463B3"/>
    <w:rsid w:val="00447028"/>
    <w:rsid w:val="00451B06"/>
    <w:rsid w:val="00463A80"/>
    <w:rsid w:val="004718E5"/>
    <w:rsid w:val="004744C9"/>
    <w:rsid w:val="00481DCC"/>
    <w:rsid w:val="004829D4"/>
    <w:rsid w:val="004A2FAC"/>
    <w:rsid w:val="004C5CCF"/>
    <w:rsid w:val="004C7E68"/>
    <w:rsid w:val="004D39B1"/>
    <w:rsid w:val="004D5E58"/>
    <w:rsid w:val="004E4178"/>
    <w:rsid w:val="00512245"/>
    <w:rsid w:val="0052415F"/>
    <w:rsid w:val="00534339"/>
    <w:rsid w:val="005478C4"/>
    <w:rsid w:val="00552C8F"/>
    <w:rsid w:val="00555B63"/>
    <w:rsid w:val="00582C3B"/>
    <w:rsid w:val="00586429"/>
    <w:rsid w:val="005935F2"/>
    <w:rsid w:val="005A7498"/>
    <w:rsid w:val="005B5B5F"/>
    <w:rsid w:val="005C007F"/>
    <w:rsid w:val="005C148A"/>
    <w:rsid w:val="005D1BE0"/>
    <w:rsid w:val="005D1F1A"/>
    <w:rsid w:val="005D65CA"/>
    <w:rsid w:val="005D7716"/>
    <w:rsid w:val="005E0052"/>
    <w:rsid w:val="005E010C"/>
    <w:rsid w:val="005E30F2"/>
    <w:rsid w:val="005E4044"/>
    <w:rsid w:val="005E4F96"/>
    <w:rsid w:val="00611C64"/>
    <w:rsid w:val="00636C2C"/>
    <w:rsid w:val="006425F8"/>
    <w:rsid w:val="006452CF"/>
    <w:rsid w:val="00646734"/>
    <w:rsid w:val="00647A5C"/>
    <w:rsid w:val="00651ACB"/>
    <w:rsid w:val="00657967"/>
    <w:rsid w:val="0066584D"/>
    <w:rsid w:val="00667C73"/>
    <w:rsid w:val="0069292A"/>
    <w:rsid w:val="006A4596"/>
    <w:rsid w:val="006B1E5B"/>
    <w:rsid w:val="006B7152"/>
    <w:rsid w:val="006B764E"/>
    <w:rsid w:val="006C0BC5"/>
    <w:rsid w:val="006C1CDA"/>
    <w:rsid w:val="006D39B5"/>
    <w:rsid w:val="006E29A5"/>
    <w:rsid w:val="006E55B1"/>
    <w:rsid w:val="006E789B"/>
    <w:rsid w:val="006F6AFC"/>
    <w:rsid w:val="00704A09"/>
    <w:rsid w:val="007115BD"/>
    <w:rsid w:val="00712236"/>
    <w:rsid w:val="00717C32"/>
    <w:rsid w:val="0072338C"/>
    <w:rsid w:val="007241BC"/>
    <w:rsid w:val="00743F00"/>
    <w:rsid w:val="00753ACB"/>
    <w:rsid w:val="00755573"/>
    <w:rsid w:val="0075670A"/>
    <w:rsid w:val="00757796"/>
    <w:rsid w:val="00761823"/>
    <w:rsid w:val="007655B7"/>
    <w:rsid w:val="007857FB"/>
    <w:rsid w:val="00790C12"/>
    <w:rsid w:val="00790D95"/>
    <w:rsid w:val="007A5326"/>
    <w:rsid w:val="007B1EA0"/>
    <w:rsid w:val="007B4F28"/>
    <w:rsid w:val="007B53A9"/>
    <w:rsid w:val="007B59F8"/>
    <w:rsid w:val="007C4DF2"/>
    <w:rsid w:val="007C5A4C"/>
    <w:rsid w:val="007D3CC6"/>
    <w:rsid w:val="007D52C8"/>
    <w:rsid w:val="007D708A"/>
    <w:rsid w:val="007F00AC"/>
    <w:rsid w:val="007F1A33"/>
    <w:rsid w:val="007F51A0"/>
    <w:rsid w:val="0080082E"/>
    <w:rsid w:val="00832770"/>
    <w:rsid w:val="00833D78"/>
    <w:rsid w:val="00836AF9"/>
    <w:rsid w:val="00854309"/>
    <w:rsid w:val="00872FE9"/>
    <w:rsid w:val="00882A59"/>
    <w:rsid w:val="00894657"/>
    <w:rsid w:val="008974D1"/>
    <w:rsid w:val="008A0FB1"/>
    <w:rsid w:val="008A13A2"/>
    <w:rsid w:val="008B7F80"/>
    <w:rsid w:val="008C1A4D"/>
    <w:rsid w:val="008D2047"/>
    <w:rsid w:val="008D667A"/>
    <w:rsid w:val="008E4ADA"/>
    <w:rsid w:val="008E519C"/>
    <w:rsid w:val="008F5344"/>
    <w:rsid w:val="00926F59"/>
    <w:rsid w:val="00942450"/>
    <w:rsid w:val="00947BA1"/>
    <w:rsid w:val="00950AA7"/>
    <w:rsid w:val="0096141D"/>
    <w:rsid w:val="00964F85"/>
    <w:rsid w:val="00966023"/>
    <w:rsid w:val="009662BC"/>
    <w:rsid w:val="0097195D"/>
    <w:rsid w:val="00984130"/>
    <w:rsid w:val="009908DF"/>
    <w:rsid w:val="00995DB0"/>
    <w:rsid w:val="00996E39"/>
    <w:rsid w:val="009B19C0"/>
    <w:rsid w:val="009B7085"/>
    <w:rsid w:val="009D4D3C"/>
    <w:rsid w:val="009E4220"/>
    <w:rsid w:val="009F4CA4"/>
    <w:rsid w:val="00A151F6"/>
    <w:rsid w:val="00A215A1"/>
    <w:rsid w:val="00A26A9E"/>
    <w:rsid w:val="00A27CA6"/>
    <w:rsid w:val="00A35ACC"/>
    <w:rsid w:val="00A40CD2"/>
    <w:rsid w:val="00A449D2"/>
    <w:rsid w:val="00A50F78"/>
    <w:rsid w:val="00A51F26"/>
    <w:rsid w:val="00A77B9D"/>
    <w:rsid w:val="00A82DD4"/>
    <w:rsid w:val="00A945FF"/>
    <w:rsid w:val="00A96B87"/>
    <w:rsid w:val="00AA1BB1"/>
    <w:rsid w:val="00AA63D8"/>
    <w:rsid w:val="00AB1EDC"/>
    <w:rsid w:val="00AB4A3E"/>
    <w:rsid w:val="00AB5A4D"/>
    <w:rsid w:val="00AB5B63"/>
    <w:rsid w:val="00AC0B2F"/>
    <w:rsid w:val="00AD0FE5"/>
    <w:rsid w:val="00AD1845"/>
    <w:rsid w:val="00AD1A6C"/>
    <w:rsid w:val="00B04F53"/>
    <w:rsid w:val="00B07242"/>
    <w:rsid w:val="00B161A7"/>
    <w:rsid w:val="00B27F6F"/>
    <w:rsid w:val="00B30923"/>
    <w:rsid w:val="00B32E65"/>
    <w:rsid w:val="00B33039"/>
    <w:rsid w:val="00B35EE7"/>
    <w:rsid w:val="00B41730"/>
    <w:rsid w:val="00B50B9A"/>
    <w:rsid w:val="00B6299A"/>
    <w:rsid w:val="00B62E6D"/>
    <w:rsid w:val="00B73D9C"/>
    <w:rsid w:val="00B8090E"/>
    <w:rsid w:val="00B912C3"/>
    <w:rsid w:val="00BA7C53"/>
    <w:rsid w:val="00BB7AED"/>
    <w:rsid w:val="00BC1171"/>
    <w:rsid w:val="00BD75E7"/>
    <w:rsid w:val="00C072A6"/>
    <w:rsid w:val="00C07D73"/>
    <w:rsid w:val="00C1292F"/>
    <w:rsid w:val="00C154E8"/>
    <w:rsid w:val="00C2245F"/>
    <w:rsid w:val="00C22CA5"/>
    <w:rsid w:val="00C32BFF"/>
    <w:rsid w:val="00C32DCC"/>
    <w:rsid w:val="00C55A7A"/>
    <w:rsid w:val="00C55CE4"/>
    <w:rsid w:val="00C64746"/>
    <w:rsid w:val="00C7029D"/>
    <w:rsid w:val="00C70D2D"/>
    <w:rsid w:val="00C94DFF"/>
    <w:rsid w:val="00C953F9"/>
    <w:rsid w:val="00CB32ED"/>
    <w:rsid w:val="00CC1DAD"/>
    <w:rsid w:val="00CC3D0C"/>
    <w:rsid w:val="00CD29AC"/>
    <w:rsid w:val="00CD44BC"/>
    <w:rsid w:val="00D01249"/>
    <w:rsid w:val="00D02FEF"/>
    <w:rsid w:val="00D12B39"/>
    <w:rsid w:val="00D35AEC"/>
    <w:rsid w:val="00D3622F"/>
    <w:rsid w:val="00D52168"/>
    <w:rsid w:val="00D81C36"/>
    <w:rsid w:val="00D944E4"/>
    <w:rsid w:val="00D96410"/>
    <w:rsid w:val="00DA1462"/>
    <w:rsid w:val="00DA3053"/>
    <w:rsid w:val="00DB4354"/>
    <w:rsid w:val="00DD5AD2"/>
    <w:rsid w:val="00DD738D"/>
    <w:rsid w:val="00DE086C"/>
    <w:rsid w:val="00E02C7C"/>
    <w:rsid w:val="00E07984"/>
    <w:rsid w:val="00E12212"/>
    <w:rsid w:val="00E31F1E"/>
    <w:rsid w:val="00E32BAB"/>
    <w:rsid w:val="00E4170A"/>
    <w:rsid w:val="00E4630A"/>
    <w:rsid w:val="00E5287E"/>
    <w:rsid w:val="00E701DA"/>
    <w:rsid w:val="00E774D0"/>
    <w:rsid w:val="00E77950"/>
    <w:rsid w:val="00E92BC5"/>
    <w:rsid w:val="00EA155C"/>
    <w:rsid w:val="00EB032C"/>
    <w:rsid w:val="00EB1203"/>
    <w:rsid w:val="00EB1FB1"/>
    <w:rsid w:val="00EC231C"/>
    <w:rsid w:val="00EC28DB"/>
    <w:rsid w:val="00ED12FD"/>
    <w:rsid w:val="00ED6F64"/>
    <w:rsid w:val="00ED73D7"/>
    <w:rsid w:val="00EE3BC9"/>
    <w:rsid w:val="00EF30D4"/>
    <w:rsid w:val="00EF4346"/>
    <w:rsid w:val="00F056C9"/>
    <w:rsid w:val="00F20DE1"/>
    <w:rsid w:val="00F2591B"/>
    <w:rsid w:val="00F35C48"/>
    <w:rsid w:val="00F36959"/>
    <w:rsid w:val="00F4165D"/>
    <w:rsid w:val="00F51CCE"/>
    <w:rsid w:val="00FA57D1"/>
    <w:rsid w:val="00FB1BB7"/>
    <w:rsid w:val="00FB3429"/>
    <w:rsid w:val="00FC27B5"/>
    <w:rsid w:val="00FC5FDA"/>
    <w:rsid w:val="00FC700E"/>
    <w:rsid w:val="00FC792B"/>
    <w:rsid w:val="00FE0C3B"/>
    <w:rsid w:val="00FE12B4"/>
    <w:rsid w:val="00FE1A25"/>
    <w:rsid w:val="00FE60DC"/>
    <w:rsid w:val="00FE70C3"/>
    <w:rsid w:val="00FF1937"/>
    <w:rsid w:val="00FF20B2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B9A07"/>
  <w15:docId w15:val="{F95CFF27-F1F0-485D-82B0-52E97D44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CB"/>
  </w:style>
  <w:style w:type="paragraph" w:styleId="Nagwek3">
    <w:name w:val="heading 3"/>
    <w:basedOn w:val="Normalny"/>
    <w:next w:val="Normalny"/>
    <w:link w:val="Nagwek3Znak"/>
    <w:uiPriority w:val="99"/>
    <w:qFormat/>
    <w:rsid w:val="00947BA1"/>
    <w:pPr>
      <w:keepNext/>
      <w:autoSpaceDE w:val="0"/>
      <w:autoSpaceDN w:val="0"/>
      <w:spacing w:after="0"/>
      <w:jc w:val="both"/>
      <w:outlineLvl w:val="2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B35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9D2"/>
  </w:style>
  <w:style w:type="paragraph" w:styleId="Stopka">
    <w:name w:val="footer"/>
    <w:basedOn w:val="Normalny"/>
    <w:link w:val="Stopka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9D2"/>
  </w:style>
  <w:style w:type="paragraph" w:styleId="Tekstdymka">
    <w:name w:val="Balloon Text"/>
    <w:basedOn w:val="Normalny"/>
    <w:link w:val="TekstdymkaZnak"/>
    <w:uiPriority w:val="99"/>
    <w:semiHidden/>
    <w:unhideWhenUsed/>
    <w:rsid w:val="00A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C0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0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0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0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C953F9"/>
    <w:pPr>
      <w:spacing w:before="200" w:after="0" w:line="320" w:lineRule="atLeast"/>
      <w:ind w:left="708"/>
    </w:pPr>
    <w:rPr>
      <w:rFonts w:ascii="Calibri" w:eastAsia="Calibri" w:hAnsi="Calibri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C953F9"/>
    <w:rPr>
      <w:rFonts w:ascii="Calibri" w:eastAsia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47BA1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90C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C12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C12"/>
    <w:rPr>
      <w:rFonts w:ascii="Calibri" w:eastAsia="Calibri" w:hAnsi="Calibri" w:cs="Times New Roman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C07D73"/>
    <w:pPr>
      <w:spacing w:after="0" w:line="240" w:lineRule="auto"/>
    </w:pPr>
  </w:style>
  <w:style w:type="character" w:customStyle="1" w:styleId="DefaultZnak">
    <w:name w:val="Default Znak"/>
    <w:link w:val="Default"/>
    <w:rsid w:val="00A40CD2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23DD4-FDEB-4211-BAEC-CE4B877F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2423</Words>
  <Characters>14541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Konto Microsoft</cp:lastModifiedBy>
  <cp:revision>2</cp:revision>
  <cp:lastPrinted>2018-04-17T09:35:00Z</cp:lastPrinted>
  <dcterms:created xsi:type="dcterms:W3CDTF">2021-02-22T14:19:00Z</dcterms:created>
  <dcterms:modified xsi:type="dcterms:W3CDTF">2021-02-22T14:19:00Z</dcterms:modified>
</cp:coreProperties>
</file>