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24094" w14:textId="77777777" w:rsidR="00B35EE7" w:rsidRDefault="00B35EE7" w:rsidP="00B35EE7">
      <w:pPr>
        <w:pStyle w:val="Default"/>
      </w:pPr>
    </w:p>
    <w:p w14:paraId="2A34371F" w14:textId="77777777" w:rsidR="003F48CD" w:rsidRDefault="003F48CD" w:rsidP="00B35EE7">
      <w:pPr>
        <w:pStyle w:val="Default"/>
        <w:jc w:val="center"/>
        <w:rPr>
          <w:b/>
          <w:bCs/>
          <w:sz w:val="22"/>
          <w:szCs w:val="22"/>
        </w:rPr>
      </w:pPr>
    </w:p>
    <w:p w14:paraId="3033736F" w14:textId="77777777" w:rsidR="00B35EE7" w:rsidRDefault="00B35EE7" w:rsidP="00B35EE7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Standard oraz ceny rynkowe najczęściej finansowanych wydatków w projektach w ramach </w:t>
      </w:r>
      <w:r w:rsidR="00E05090">
        <w:rPr>
          <w:b/>
          <w:bCs/>
          <w:sz w:val="22"/>
          <w:szCs w:val="22"/>
        </w:rPr>
        <w:t>D</w:t>
      </w:r>
      <w:r>
        <w:rPr>
          <w:b/>
          <w:bCs/>
          <w:sz w:val="22"/>
          <w:szCs w:val="22"/>
        </w:rPr>
        <w:t xml:space="preserve">ziałania </w:t>
      </w:r>
      <w:r w:rsidR="00E05090">
        <w:rPr>
          <w:b/>
          <w:bCs/>
          <w:sz w:val="22"/>
          <w:szCs w:val="22"/>
        </w:rPr>
        <w:t>8</w:t>
      </w:r>
      <w:r>
        <w:rPr>
          <w:b/>
          <w:bCs/>
          <w:sz w:val="22"/>
          <w:szCs w:val="22"/>
        </w:rPr>
        <w:t>.</w:t>
      </w:r>
      <w:r w:rsidR="00CB1442">
        <w:rPr>
          <w:b/>
          <w:bCs/>
          <w:sz w:val="22"/>
          <w:szCs w:val="22"/>
        </w:rPr>
        <w:t>3</w:t>
      </w:r>
    </w:p>
    <w:p w14:paraId="40E034A1" w14:textId="77777777" w:rsidR="00B35EE7" w:rsidRDefault="00B35EE7" w:rsidP="00B35EE7">
      <w:pPr>
        <w:pStyle w:val="Default"/>
        <w:jc w:val="both"/>
        <w:rPr>
          <w:sz w:val="22"/>
          <w:szCs w:val="22"/>
        </w:rPr>
      </w:pPr>
    </w:p>
    <w:p w14:paraId="744FCD04" w14:textId="77777777" w:rsidR="003F48CD" w:rsidRPr="003F48CD" w:rsidRDefault="003F48CD" w:rsidP="003F48CD">
      <w:pPr>
        <w:pStyle w:val="Default"/>
        <w:spacing w:line="276" w:lineRule="auto"/>
        <w:jc w:val="both"/>
        <w:rPr>
          <w:sz w:val="22"/>
          <w:szCs w:val="22"/>
        </w:rPr>
      </w:pPr>
      <w:r w:rsidRPr="003F48CD">
        <w:rPr>
          <w:sz w:val="22"/>
          <w:szCs w:val="22"/>
        </w:rPr>
        <w:t xml:space="preserve">Dokument ten </w:t>
      </w:r>
      <w:r w:rsidRPr="000015C1">
        <w:rPr>
          <w:sz w:val="22"/>
          <w:szCs w:val="22"/>
        </w:rPr>
        <w:t>określa k</w:t>
      </w:r>
      <w:r w:rsidR="00B35EE7" w:rsidRPr="000015C1">
        <w:rPr>
          <w:sz w:val="22"/>
          <w:szCs w:val="22"/>
        </w:rPr>
        <w:t xml:space="preserve">atalog </w:t>
      </w:r>
      <w:r w:rsidRPr="000015C1">
        <w:rPr>
          <w:sz w:val="22"/>
          <w:szCs w:val="22"/>
        </w:rPr>
        <w:t>najczęściej finansowanych k</w:t>
      </w:r>
      <w:r w:rsidR="00CB1442" w:rsidRPr="000015C1">
        <w:rPr>
          <w:sz w:val="22"/>
          <w:szCs w:val="22"/>
        </w:rPr>
        <w:t xml:space="preserve">osztów w ramach </w:t>
      </w:r>
      <w:r w:rsidR="00E05090" w:rsidRPr="00E05090">
        <w:rPr>
          <w:sz w:val="22"/>
          <w:szCs w:val="22"/>
        </w:rPr>
        <w:t>Działania 8.3</w:t>
      </w:r>
      <w:r w:rsidRPr="000015C1">
        <w:rPr>
          <w:sz w:val="22"/>
          <w:szCs w:val="22"/>
        </w:rPr>
        <w:t xml:space="preserve"> </w:t>
      </w:r>
      <w:r w:rsidR="00E05090" w:rsidRPr="00E05090">
        <w:rPr>
          <w:sz w:val="22"/>
          <w:szCs w:val="22"/>
        </w:rPr>
        <w:t>Wsparcie przedsiębiorczości i samozatrudnienia w regionie</w:t>
      </w:r>
      <w:r w:rsidRPr="003F48CD">
        <w:rPr>
          <w:i/>
          <w:sz w:val="22"/>
          <w:szCs w:val="22"/>
        </w:rPr>
        <w:t xml:space="preserve"> </w:t>
      </w:r>
      <w:r w:rsidR="00E05090">
        <w:rPr>
          <w:sz w:val="22"/>
          <w:szCs w:val="22"/>
        </w:rPr>
        <w:t>oraz</w:t>
      </w:r>
      <w:r w:rsidRPr="003F48CD">
        <w:rPr>
          <w:sz w:val="22"/>
          <w:szCs w:val="22"/>
        </w:rPr>
        <w:t xml:space="preserve"> zawiera zalecenia odnośnie</w:t>
      </w:r>
      <w:r w:rsidR="00032891">
        <w:rPr>
          <w:sz w:val="22"/>
          <w:szCs w:val="22"/>
        </w:rPr>
        <w:t xml:space="preserve"> do</w:t>
      </w:r>
      <w:r w:rsidRPr="003F48CD">
        <w:rPr>
          <w:sz w:val="22"/>
          <w:szCs w:val="22"/>
        </w:rPr>
        <w:t xml:space="preserve"> zasad konstruowania budżetu szczegółowego projektu.</w:t>
      </w:r>
    </w:p>
    <w:p w14:paraId="34790C10" w14:textId="77777777" w:rsidR="003F48CD" w:rsidRPr="003F48CD" w:rsidRDefault="003F48CD" w:rsidP="003F48CD">
      <w:pPr>
        <w:pStyle w:val="Default"/>
        <w:spacing w:line="276" w:lineRule="auto"/>
        <w:jc w:val="both"/>
        <w:rPr>
          <w:sz w:val="22"/>
          <w:szCs w:val="22"/>
        </w:rPr>
      </w:pPr>
    </w:p>
    <w:p w14:paraId="22D09429" w14:textId="79D1F4DA" w:rsidR="00B35EE7" w:rsidRPr="003F48CD" w:rsidRDefault="003F48CD" w:rsidP="003F48CD">
      <w:pPr>
        <w:pStyle w:val="Default"/>
        <w:spacing w:line="276" w:lineRule="auto"/>
        <w:jc w:val="both"/>
        <w:rPr>
          <w:sz w:val="22"/>
          <w:szCs w:val="22"/>
        </w:rPr>
      </w:pPr>
      <w:r w:rsidRPr="003F48CD">
        <w:rPr>
          <w:sz w:val="22"/>
          <w:szCs w:val="22"/>
        </w:rPr>
        <w:t>Katalog kosztów nie ma charakteru zamkniętego</w:t>
      </w:r>
      <w:r w:rsidR="00B35EE7" w:rsidRPr="003F48CD">
        <w:rPr>
          <w:sz w:val="22"/>
          <w:szCs w:val="22"/>
        </w:rPr>
        <w:t xml:space="preserve">. Dopuszczalne jest ujmowanie w projekcie innych kosztów, które są niezbędne do jego realizacji. Stawki wyszczególnione w zestawieniu </w:t>
      </w:r>
      <w:r w:rsidR="002E488E">
        <w:rPr>
          <w:sz w:val="22"/>
          <w:szCs w:val="22"/>
        </w:rPr>
        <w:t xml:space="preserve">(poza stawką jednostkową) </w:t>
      </w:r>
      <w:r w:rsidR="00B35EE7" w:rsidRPr="003F48CD">
        <w:rPr>
          <w:sz w:val="22"/>
          <w:szCs w:val="22"/>
        </w:rPr>
        <w:t>są stawkami maksymalnymi, jednak nie oznacza to automatycznego akceptowania przez oceniających stawek założonych na maksymalnym poziomie (brane pod uwagę będą takie czynniki jak: specyfika projektu, stopień złożoności projektu, wielkość grupy docelowej, miejsce realizacji</w:t>
      </w:r>
      <w:r w:rsidR="00FE0C61">
        <w:rPr>
          <w:sz w:val="22"/>
          <w:szCs w:val="22"/>
        </w:rPr>
        <w:t xml:space="preserve"> itp.</w:t>
      </w:r>
      <w:r w:rsidR="00B35EE7" w:rsidRPr="003F48CD">
        <w:rPr>
          <w:sz w:val="22"/>
          <w:szCs w:val="22"/>
        </w:rPr>
        <w:t xml:space="preserve">). </w:t>
      </w:r>
    </w:p>
    <w:p w14:paraId="36D0B446" w14:textId="77777777" w:rsidR="003F48CD" w:rsidRPr="003F48CD" w:rsidRDefault="003F48CD" w:rsidP="003F48CD">
      <w:pPr>
        <w:pStyle w:val="Default"/>
        <w:spacing w:line="276" w:lineRule="auto"/>
        <w:jc w:val="both"/>
        <w:rPr>
          <w:sz w:val="22"/>
          <w:szCs w:val="22"/>
        </w:rPr>
      </w:pPr>
    </w:p>
    <w:tbl>
      <w:tblPr>
        <w:tblW w:w="904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56"/>
        <w:gridCol w:w="1701"/>
        <w:gridCol w:w="4819"/>
      </w:tblGrid>
      <w:tr w:rsidR="003F48CD" w:rsidRPr="00EE3BC9" w14:paraId="2856CCAC" w14:textId="77777777" w:rsidTr="008E417C">
        <w:trPr>
          <w:trHeight w:val="504"/>
        </w:trPr>
        <w:tc>
          <w:tcPr>
            <w:tcW w:w="567" w:type="dxa"/>
            <w:shd w:val="clear" w:color="auto" w:fill="D9D9D9" w:themeFill="background1" w:themeFillShade="D9"/>
          </w:tcPr>
          <w:p w14:paraId="54CF7223" w14:textId="77777777" w:rsidR="003F48CD" w:rsidRPr="00EE3BC9" w:rsidRDefault="003F48CD" w:rsidP="00A449D2">
            <w:pPr>
              <w:pStyle w:val="Defaul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E3BC9">
              <w:rPr>
                <w:rFonts w:asciiTheme="minorHAnsi" w:hAnsi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956" w:type="dxa"/>
            <w:shd w:val="clear" w:color="auto" w:fill="D9D9D9" w:themeFill="background1" w:themeFillShade="D9"/>
          </w:tcPr>
          <w:p w14:paraId="355A8FF8" w14:textId="77777777" w:rsidR="003F48CD" w:rsidRPr="00EE3BC9" w:rsidRDefault="00AA63D8" w:rsidP="00A449D2">
            <w:pPr>
              <w:pStyle w:val="Defaul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E3BC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Rodzaj </w:t>
            </w:r>
            <w:r w:rsidR="003F48CD" w:rsidRPr="00EE3BC9">
              <w:rPr>
                <w:rFonts w:asciiTheme="minorHAnsi" w:hAnsiTheme="minorHAnsi"/>
                <w:b/>
                <w:bCs/>
                <w:sz w:val="22"/>
                <w:szCs w:val="22"/>
              </w:rPr>
              <w:t>kosztu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E51DC1B" w14:textId="77777777" w:rsidR="003F48CD" w:rsidRPr="00EE3BC9" w:rsidRDefault="00AA63D8" w:rsidP="00A449D2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E3BC9">
              <w:rPr>
                <w:rFonts w:asciiTheme="minorHAnsi" w:hAnsiTheme="minorHAnsi"/>
                <w:b/>
                <w:bCs/>
                <w:sz w:val="22"/>
                <w:szCs w:val="22"/>
              </w:rPr>
              <w:t>Maksymalny koszt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14:paraId="5575EECB" w14:textId="77777777" w:rsidR="003F48CD" w:rsidRPr="00EE3BC9" w:rsidRDefault="00AA63D8" w:rsidP="00AA63D8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E3BC9">
              <w:rPr>
                <w:rFonts w:asciiTheme="minorHAnsi" w:hAnsiTheme="minorHAnsi"/>
                <w:b/>
                <w:bCs/>
                <w:sz w:val="22"/>
                <w:szCs w:val="22"/>
              </w:rPr>
              <w:t>Oczekiwany standard/Uzasadnienie</w:t>
            </w:r>
          </w:p>
        </w:tc>
      </w:tr>
      <w:tr w:rsidR="006855DB" w:rsidRPr="00EE3BC9" w14:paraId="36351930" w14:textId="77777777" w:rsidTr="008E417C">
        <w:trPr>
          <w:trHeight w:val="410"/>
        </w:trPr>
        <w:tc>
          <w:tcPr>
            <w:tcW w:w="567" w:type="dxa"/>
          </w:tcPr>
          <w:p w14:paraId="12E66C34" w14:textId="0298F12F" w:rsidR="006855DB" w:rsidRPr="00E637E0" w:rsidRDefault="00EF49D0" w:rsidP="001C2D14">
            <w:pPr>
              <w:pStyle w:val="Default"/>
              <w:ind w:right="-10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56" w:type="dxa"/>
          </w:tcPr>
          <w:p w14:paraId="2CD1C3E2" w14:textId="2E141F61" w:rsidR="006855DB" w:rsidRPr="001C2D14" w:rsidRDefault="006855DB" w:rsidP="001C2D14">
            <w:pPr>
              <w:pStyle w:val="Default"/>
              <w:ind w:right="-108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stypendium szkoleniowe</w:t>
            </w:r>
          </w:p>
        </w:tc>
        <w:tc>
          <w:tcPr>
            <w:tcW w:w="1701" w:type="dxa"/>
          </w:tcPr>
          <w:p w14:paraId="06548966" w14:textId="20BE73F1" w:rsidR="006855DB" w:rsidRPr="001C2D14" w:rsidRDefault="00E970A8" w:rsidP="001C2D14">
            <w:pPr>
              <w:spacing w:after="0" w:line="240" w:lineRule="auto"/>
              <w:jc w:val="center"/>
              <w:rPr>
                <w:rFonts w:ascii="Calibri" w:hAnsi="Calibri" w:cs="Arial"/>
              </w:rPr>
            </w:pPr>
            <w:r>
              <w:rPr>
                <w:rFonts w:cs="Arial"/>
              </w:rPr>
              <w:t>120% zasiłku</w:t>
            </w:r>
            <w:r w:rsidRPr="00E970A8">
              <w:rPr>
                <w:rFonts w:cs="Arial"/>
              </w:rPr>
              <w:t>, o którym mowa w art. 72 ust. 1 pkt 1 ustawy o promocji zatrudnienia i instytucjach rynku pracy</w:t>
            </w:r>
          </w:p>
        </w:tc>
        <w:tc>
          <w:tcPr>
            <w:tcW w:w="4819" w:type="dxa"/>
          </w:tcPr>
          <w:p w14:paraId="1B27F408" w14:textId="77777777" w:rsidR="006855DB" w:rsidRDefault="00E970A8" w:rsidP="00E970A8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Wskazany miesięczny koszt przysługuje, </w:t>
            </w:r>
            <w:r w:rsidRPr="00E970A8">
              <w:rPr>
                <w:rFonts w:cs="Arial"/>
                <w:sz w:val="22"/>
                <w:szCs w:val="22"/>
              </w:rPr>
              <w:t>jeżeli miesięczna liczba godzin szkolenia wynosi co najmniej 150 godzin; w przypadku niższej miesięcznej liczby godzin szkolenia, wysokość stypendium szkoleniowego ustala się proporcjonalnie, z tym, że stypendium to nie może być niższe niż 20% zasiłku, o którym mowa w art. 72 ust. 1 pkt 1 ustawy o promocji zatrudnienia i instytucjach rynku pracy.</w:t>
            </w:r>
          </w:p>
          <w:p w14:paraId="66C9A115" w14:textId="77777777" w:rsidR="00E970A8" w:rsidRDefault="00E970A8" w:rsidP="00E970A8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  <w:p w14:paraId="7427CECA" w14:textId="0D920D9B" w:rsidR="00E970A8" w:rsidRPr="001C2D14" w:rsidRDefault="00E970A8" w:rsidP="00E970A8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Osoby biorące udział w szkoleniach </w:t>
            </w:r>
            <w:r w:rsidRPr="00E970A8">
              <w:rPr>
                <w:rFonts w:cs="Arial"/>
                <w:sz w:val="22"/>
                <w:szCs w:val="22"/>
              </w:rPr>
              <w:t>podlegają obowiązk</w:t>
            </w:r>
            <w:r>
              <w:rPr>
                <w:rFonts w:cs="Arial"/>
                <w:sz w:val="22"/>
                <w:szCs w:val="22"/>
              </w:rPr>
              <w:t xml:space="preserve">owo ubezpieczeniom emerytalnym, </w:t>
            </w:r>
            <w:r w:rsidRPr="00E970A8">
              <w:rPr>
                <w:rFonts w:cs="Arial"/>
                <w:sz w:val="22"/>
                <w:szCs w:val="22"/>
              </w:rPr>
              <w:t>rentowym, wypadkowemu i zdrowotnemu</w:t>
            </w:r>
            <w:r>
              <w:rPr>
                <w:rStyle w:val="Odwoanieprzypisudolnego"/>
                <w:rFonts w:cs="Arial"/>
                <w:sz w:val="22"/>
                <w:szCs w:val="22"/>
              </w:rPr>
              <w:footnoteReference w:id="1"/>
            </w:r>
            <w:r>
              <w:rPr>
                <w:rFonts w:cs="Arial"/>
                <w:sz w:val="22"/>
                <w:szCs w:val="22"/>
              </w:rPr>
              <w:t xml:space="preserve">, </w:t>
            </w:r>
            <w:r w:rsidRPr="008E417C">
              <w:rPr>
                <w:rFonts w:cs="Arial"/>
                <w:sz w:val="22"/>
                <w:szCs w:val="22"/>
                <w:u w:val="single"/>
              </w:rPr>
              <w:t>jeśli nie mają innych tytułów powodujących obowiązek ubezpieczeń społecznych</w:t>
            </w:r>
            <w:r>
              <w:rPr>
                <w:rStyle w:val="Odwoanieprzypisudolnego"/>
                <w:rFonts w:cs="Arial"/>
                <w:sz w:val="22"/>
                <w:szCs w:val="22"/>
              </w:rPr>
              <w:footnoteReference w:id="2"/>
            </w:r>
            <w:r w:rsidRPr="00E970A8">
              <w:rPr>
                <w:rFonts w:cs="Arial"/>
                <w:sz w:val="22"/>
                <w:szCs w:val="22"/>
              </w:rPr>
              <w:t xml:space="preserve">. Płatnikiem składek za te osoby jest podmiot kierujący na szkolenie. Koszt składek jest wydatkiem kwalifikowalnym w projekcie, który nie </w:t>
            </w:r>
            <w:r>
              <w:rPr>
                <w:rFonts w:cs="Arial"/>
                <w:sz w:val="22"/>
                <w:szCs w:val="22"/>
              </w:rPr>
              <w:t>zawiera się w kwocie stypendium</w:t>
            </w:r>
            <w:r w:rsidRPr="00E970A8">
              <w:rPr>
                <w:rFonts w:cs="Arial"/>
                <w:sz w:val="22"/>
                <w:szCs w:val="22"/>
              </w:rPr>
              <w:t>.</w:t>
            </w:r>
          </w:p>
        </w:tc>
      </w:tr>
      <w:tr w:rsidR="006855DB" w:rsidRPr="00EE3BC9" w14:paraId="5A1BA9A3" w14:textId="77777777" w:rsidTr="008E417C">
        <w:trPr>
          <w:trHeight w:val="410"/>
        </w:trPr>
        <w:tc>
          <w:tcPr>
            <w:tcW w:w="567" w:type="dxa"/>
          </w:tcPr>
          <w:p w14:paraId="6028D7DB" w14:textId="40695A50" w:rsidR="006855DB" w:rsidRPr="00E637E0" w:rsidRDefault="00EF49D0" w:rsidP="001C2D14">
            <w:pPr>
              <w:pStyle w:val="Default"/>
              <w:ind w:right="-10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56" w:type="dxa"/>
          </w:tcPr>
          <w:p w14:paraId="19EDDD54" w14:textId="7247C0E2" w:rsidR="006855DB" w:rsidRDefault="006855DB" w:rsidP="001C2D14">
            <w:pPr>
              <w:pStyle w:val="Default"/>
              <w:ind w:right="-108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wsparcie pomostowe</w:t>
            </w:r>
          </w:p>
        </w:tc>
        <w:tc>
          <w:tcPr>
            <w:tcW w:w="1701" w:type="dxa"/>
          </w:tcPr>
          <w:p w14:paraId="5550A127" w14:textId="712ED6EF" w:rsidR="006855DB" w:rsidRPr="001C2D14" w:rsidRDefault="008E417C" w:rsidP="001C2D14">
            <w:pPr>
              <w:spacing w:after="0" w:line="240" w:lineRule="auto"/>
              <w:jc w:val="center"/>
              <w:rPr>
                <w:rFonts w:ascii="Calibri" w:hAnsi="Calibri" w:cs="Arial"/>
              </w:rPr>
            </w:pPr>
            <w:r w:rsidRPr="008E417C">
              <w:rPr>
                <w:rFonts w:cs="Arial"/>
              </w:rPr>
              <w:t xml:space="preserve">równowartość minimalnego wynagrodzenia za pracę, o którym mowa w </w:t>
            </w:r>
            <w:r w:rsidRPr="008E417C">
              <w:rPr>
                <w:rFonts w:cs="Arial"/>
              </w:rPr>
              <w:lastRenderedPageBreak/>
              <w:t>przepisach o minimalnym wynagrodzeniu za pracę obowiązującego na dzień przyznania wsparcia bezzwrotnego (dotacji)</w:t>
            </w:r>
          </w:p>
        </w:tc>
        <w:tc>
          <w:tcPr>
            <w:tcW w:w="4819" w:type="dxa"/>
          </w:tcPr>
          <w:p w14:paraId="1A6AD6BD" w14:textId="4540E2F8" w:rsidR="008E417C" w:rsidRDefault="008E417C" w:rsidP="008E417C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W</w:t>
            </w:r>
            <w:r w:rsidRPr="008E417C">
              <w:rPr>
                <w:rFonts w:cs="Arial"/>
                <w:sz w:val="22"/>
                <w:szCs w:val="22"/>
              </w:rPr>
              <w:t>sparcie pomostowe jest przyznawane przez okres od 6 do 12 miesięcy od dnia rozpoczęcia prowad</w:t>
            </w:r>
            <w:r>
              <w:rPr>
                <w:rFonts w:cs="Arial"/>
                <w:sz w:val="22"/>
                <w:szCs w:val="22"/>
              </w:rPr>
              <w:t xml:space="preserve">zenia działalności gospodarczej </w:t>
            </w:r>
            <w:r w:rsidRPr="008E417C">
              <w:rPr>
                <w:rFonts w:cs="Arial"/>
                <w:sz w:val="22"/>
                <w:szCs w:val="22"/>
              </w:rPr>
              <w:t xml:space="preserve">na pokrycie obowiązkowych składek ZUS i innych wydatków bieżących wyłącznie w </w:t>
            </w:r>
            <w:r w:rsidR="00336F47">
              <w:rPr>
                <w:rFonts w:cs="Arial"/>
                <w:sz w:val="22"/>
                <w:szCs w:val="22"/>
              </w:rPr>
              <w:t xml:space="preserve">kwocie netto, tj. </w:t>
            </w:r>
            <w:r>
              <w:rPr>
                <w:rFonts w:cs="Arial"/>
                <w:sz w:val="22"/>
                <w:szCs w:val="22"/>
              </w:rPr>
              <w:t xml:space="preserve">bez </w:t>
            </w:r>
            <w:r>
              <w:rPr>
                <w:rFonts w:cs="Arial"/>
                <w:sz w:val="22"/>
                <w:szCs w:val="22"/>
              </w:rPr>
              <w:lastRenderedPageBreak/>
              <w:t xml:space="preserve">podatku </w:t>
            </w:r>
            <w:r w:rsidR="00336F47">
              <w:rPr>
                <w:rFonts w:cs="Arial"/>
                <w:sz w:val="22"/>
                <w:szCs w:val="22"/>
              </w:rPr>
              <w:t>od towarów i usług (</w:t>
            </w:r>
            <w:r>
              <w:rPr>
                <w:rFonts w:cs="Arial"/>
                <w:sz w:val="22"/>
                <w:szCs w:val="22"/>
              </w:rPr>
              <w:t xml:space="preserve">VAT). </w:t>
            </w:r>
          </w:p>
          <w:p w14:paraId="6550135E" w14:textId="77777777" w:rsidR="00336F47" w:rsidRDefault="00336F47" w:rsidP="008E417C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  <w:p w14:paraId="11433382" w14:textId="0FBCD825" w:rsidR="008E417C" w:rsidRPr="001C2D14" w:rsidRDefault="008E417C" w:rsidP="008E417C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Wskazany koszt dotyczy maksymalnej miesięcznej wysokości wsparcia pomostowego.</w:t>
            </w:r>
            <w:bookmarkStart w:id="0" w:name="_GoBack"/>
            <w:bookmarkEnd w:id="0"/>
          </w:p>
        </w:tc>
      </w:tr>
      <w:tr w:rsidR="00397AF4" w:rsidRPr="00EE3BC9" w14:paraId="5C773FE0" w14:textId="77777777" w:rsidTr="008E417C">
        <w:trPr>
          <w:trHeight w:val="410"/>
        </w:trPr>
        <w:tc>
          <w:tcPr>
            <w:tcW w:w="567" w:type="dxa"/>
          </w:tcPr>
          <w:p w14:paraId="482E8D43" w14:textId="24BA786C" w:rsidR="00397AF4" w:rsidRPr="00E637E0" w:rsidRDefault="00EF49D0" w:rsidP="001C2D14">
            <w:pPr>
              <w:pStyle w:val="Default"/>
              <w:ind w:right="-10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1956" w:type="dxa"/>
          </w:tcPr>
          <w:p w14:paraId="3CEE0C52" w14:textId="78826EAF" w:rsidR="00397AF4" w:rsidRPr="001C2D14" w:rsidRDefault="001C2D14" w:rsidP="001C2D14">
            <w:pPr>
              <w:pStyle w:val="Default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1C2D14">
              <w:rPr>
                <w:rFonts w:cs="Arial"/>
                <w:b/>
                <w:bCs/>
                <w:sz w:val="22"/>
                <w:szCs w:val="22"/>
              </w:rPr>
              <w:t>zakup materiałów biurowych dla uczestników szkolenia</w:t>
            </w:r>
          </w:p>
        </w:tc>
        <w:tc>
          <w:tcPr>
            <w:tcW w:w="1701" w:type="dxa"/>
          </w:tcPr>
          <w:p w14:paraId="2FC07B4A" w14:textId="3AB07EE6" w:rsidR="001C2D14" w:rsidRDefault="001C2D14" w:rsidP="001C2D14">
            <w:pPr>
              <w:spacing w:after="0" w:line="240" w:lineRule="auto"/>
              <w:jc w:val="center"/>
              <w:rPr>
                <w:rFonts w:ascii="Calibri" w:hAnsi="Calibri" w:cs="Arial"/>
              </w:rPr>
            </w:pPr>
            <w:r w:rsidRPr="001C2D14">
              <w:rPr>
                <w:rFonts w:ascii="Calibri" w:hAnsi="Calibri" w:cs="Arial"/>
              </w:rPr>
              <w:t>9 zł za zestaw bez pendrive</w:t>
            </w:r>
          </w:p>
          <w:p w14:paraId="52739304" w14:textId="77777777" w:rsidR="00C15EF6" w:rsidRPr="001C2D14" w:rsidRDefault="00C15EF6" w:rsidP="001C2D14">
            <w:pPr>
              <w:spacing w:after="0" w:line="240" w:lineRule="auto"/>
              <w:jc w:val="center"/>
              <w:rPr>
                <w:rFonts w:ascii="Calibri" w:hAnsi="Calibri" w:cs="Arial"/>
              </w:rPr>
            </w:pPr>
          </w:p>
          <w:p w14:paraId="0646898C" w14:textId="77777777" w:rsidR="001C2D14" w:rsidRDefault="001C2D14" w:rsidP="001C2D14">
            <w:pPr>
              <w:spacing w:after="0" w:line="240" w:lineRule="auto"/>
              <w:jc w:val="center"/>
              <w:rPr>
                <w:rFonts w:ascii="Calibri" w:hAnsi="Calibri" w:cs="Arial"/>
              </w:rPr>
            </w:pPr>
            <w:r w:rsidRPr="001C2D14">
              <w:rPr>
                <w:rFonts w:ascii="Calibri" w:hAnsi="Calibri" w:cs="Arial"/>
              </w:rPr>
              <w:t>lub</w:t>
            </w:r>
          </w:p>
          <w:p w14:paraId="36DBDD37" w14:textId="77777777" w:rsidR="00C15EF6" w:rsidRPr="001C2D14" w:rsidRDefault="00C15EF6" w:rsidP="001C2D14">
            <w:pPr>
              <w:spacing w:after="0" w:line="240" w:lineRule="auto"/>
              <w:jc w:val="center"/>
              <w:rPr>
                <w:rFonts w:ascii="Calibri" w:hAnsi="Calibri" w:cs="Arial"/>
              </w:rPr>
            </w:pPr>
          </w:p>
          <w:p w14:paraId="135B7C7C" w14:textId="5E4B36A6" w:rsidR="00397AF4" w:rsidRPr="001C2D14" w:rsidRDefault="001C2D14" w:rsidP="00184683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1C2D14">
              <w:rPr>
                <w:rFonts w:ascii="Calibri" w:hAnsi="Calibri" w:cs="Arial"/>
              </w:rPr>
              <w:t xml:space="preserve">24 zł za zestaw </w:t>
            </w:r>
            <w:r w:rsidR="00C15EF6">
              <w:rPr>
                <w:rFonts w:ascii="Calibri" w:hAnsi="Calibri" w:cs="Arial"/>
              </w:rPr>
              <w:br/>
            </w:r>
            <w:r w:rsidRPr="001C2D14">
              <w:rPr>
                <w:rFonts w:ascii="Calibri" w:hAnsi="Calibri" w:cs="Arial"/>
              </w:rPr>
              <w:t>z pendrive</w:t>
            </w:r>
          </w:p>
        </w:tc>
        <w:tc>
          <w:tcPr>
            <w:tcW w:w="4819" w:type="dxa"/>
          </w:tcPr>
          <w:p w14:paraId="06AE91EE" w14:textId="77777777" w:rsidR="00397AF4" w:rsidRDefault="001C2D14" w:rsidP="001C2D14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  <w:r w:rsidRPr="001C2D14">
              <w:rPr>
                <w:rFonts w:cs="Arial"/>
                <w:sz w:val="22"/>
                <w:szCs w:val="22"/>
              </w:rPr>
              <w:t>Koszt obejmuje zestaw składający się z teczki, notesu, długopisu lub zestawu z dodatkowym pendrive, co dotyczy tylko dużej ilości materiałów szkoleniowych nagrywanych na pendrive, zamiast wydruku tych materiałów.</w:t>
            </w:r>
          </w:p>
          <w:p w14:paraId="5A4B727F" w14:textId="77777777" w:rsidR="00C15EF6" w:rsidRPr="001C2D14" w:rsidRDefault="00C15EF6" w:rsidP="001C2D14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  <w:p w14:paraId="7220FC9F" w14:textId="13785448" w:rsidR="001C2D14" w:rsidRDefault="001C2D14" w:rsidP="001C2D14">
            <w:pPr>
              <w:spacing w:after="0" w:line="240" w:lineRule="auto"/>
              <w:jc w:val="both"/>
              <w:rPr>
                <w:rFonts w:ascii="Calibri" w:hAnsi="Calibri" w:cs="Arial"/>
              </w:rPr>
            </w:pPr>
            <w:r w:rsidRPr="001C2D14">
              <w:rPr>
                <w:rFonts w:ascii="Calibri" w:hAnsi="Calibri" w:cs="Arial"/>
              </w:rPr>
              <w:t>Cena rynkowa powinna być uzależniona od rodzaju oferowanej usługi i jest niższa, jeśli finansowany jest mniejszy zakres usługi (np. notes i długopis).</w:t>
            </w:r>
          </w:p>
          <w:p w14:paraId="1B744EFA" w14:textId="77777777" w:rsidR="00C15EF6" w:rsidRPr="001C2D14" w:rsidRDefault="00C15EF6" w:rsidP="001C2D14">
            <w:pPr>
              <w:spacing w:after="0" w:line="240" w:lineRule="auto"/>
              <w:jc w:val="both"/>
              <w:rPr>
                <w:rFonts w:ascii="Calibri" w:hAnsi="Calibri" w:cs="Arial"/>
              </w:rPr>
            </w:pPr>
          </w:p>
          <w:p w14:paraId="37C35A98" w14:textId="1F5E18EE" w:rsidR="001C2D14" w:rsidRPr="001C2D14" w:rsidRDefault="001C2D14" w:rsidP="001C2D14">
            <w:pPr>
              <w:pStyle w:val="Default"/>
              <w:jc w:val="both"/>
              <w:rPr>
                <w:sz w:val="22"/>
                <w:szCs w:val="22"/>
              </w:rPr>
            </w:pPr>
            <w:r w:rsidRPr="001C2D14">
              <w:rPr>
                <w:rFonts w:cs="Arial"/>
                <w:sz w:val="22"/>
                <w:szCs w:val="22"/>
              </w:rPr>
              <w:t>Cena nie obejmuje kosztu logotypów (objęte są kosztami pośrednimi).</w:t>
            </w:r>
          </w:p>
        </w:tc>
      </w:tr>
      <w:tr w:rsidR="004829D4" w:rsidRPr="00EE3BC9" w14:paraId="75C1F5D7" w14:textId="77777777" w:rsidTr="008E417C">
        <w:trPr>
          <w:trHeight w:val="408"/>
        </w:trPr>
        <w:tc>
          <w:tcPr>
            <w:tcW w:w="567" w:type="dxa"/>
          </w:tcPr>
          <w:p w14:paraId="65DA593A" w14:textId="20AA8B0C" w:rsidR="004829D4" w:rsidRPr="00E637E0" w:rsidRDefault="00EF49D0" w:rsidP="004829D4">
            <w:pPr>
              <w:pStyle w:val="Default"/>
              <w:ind w:right="-10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956" w:type="dxa"/>
          </w:tcPr>
          <w:p w14:paraId="049DF2A5" w14:textId="036ADCA4" w:rsidR="004829D4" w:rsidRPr="00E637E0" w:rsidRDefault="00E637E0" w:rsidP="00E637E0">
            <w:pPr>
              <w:pStyle w:val="Default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E637E0">
              <w:rPr>
                <w:rFonts w:cs="Arial"/>
                <w:b/>
                <w:bCs/>
                <w:sz w:val="22"/>
                <w:szCs w:val="22"/>
              </w:rPr>
              <w:t>przerwa kawowa</w:t>
            </w:r>
          </w:p>
        </w:tc>
        <w:tc>
          <w:tcPr>
            <w:tcW w:w="1701" w:type="dxa"/>
          </w:tcPr>
          <w:p w14:paraId="3A725EFC" w14:textId="66E9EF3C" w:rsidR="004829D4" w:rsidRPr="00E637E0" w:rsidRDefault="00E637E0" w:rsidP="00E637E0">
            <w:pPr>
              <w:pStyle w:val="Default"/>
              <w:jc w:val="center"/>
              <w:rPr>
                <w:sz w:val="22"/>
                <w:szCs w:val="22"/>
              </w:rPr>
            </w:pPr>
            <w:r w:rsidRPr="00E637E0">
              <w:rPr>
                <w:rFonts w:cs="Arial"/>
                <w:sz w:val="22"/>
                <w:szCs w:val="22"/>
              </w:rPr>
              <w:t>15 zł za osobodzień szkoleniowy</w:t>
            </w:r>
          </w:p>
        </w:tc>
        <w:tc>
          <w:tcPr>
            <w:tcW w:w="4819" w:type="dxa"/>
          </w:tcPr>
          <w:p w14:paraId="6237A135" w14:textId="5E258D13" w:rsidR="00E637E0" w:rsidRDefault="00E637E0" w:rsidP="00E637E0">
            <w:pPr>
              <w:spacing w:after="0" w:line="240" w:lineRule="auto"/>
              <w:jc w:val="both"/>
              <w:rPr>
                <w:rFonts w:ascii="Calibri" w:hAnsi="Calibri" w:cs="Arial"/>
              </w:rPr>
            </w:pPr>
            <w:r w:rsidRPr="00E637E0">
              <w:rPr>
                <w:rFonts w:ascii="Calibri" w:hAnsi="Calibri" w:cs="Arial"/>
              </w:rPr>
              <w:t>Wydatek kwalifikowalny, o ile forma wsparcia, w ramach której ma być świadczona przerwa kawowa, dotyczy tej samej grupy osób i nie jest przewidziany zimny bufet.</w:t>
            </w:r>
          </w:p>
          <w:p w14:paraId="067C5633" w14:textId="77777777" w:rsidR="00184683" w:rsidRPr="00E637E0" w:rsidRDefault="00184683" w:rsidP="00E637E0">
            <w:pPr>
              <w:spacing w:after="0" w:line="240" w:lineRule="auto"/>
              <w:jc w:val="both"/>
              <w:rPr>
                <w:rFonts w:ascii="Calibri" w:hAnsi="Calibri" w:cs="Arial"/>
              </w:rPr>
            </w:pPr>
          </w:p>
          <w:p w14:paraId="5625EC2E" w14:textId="15FA10AC" w:rsidR="004829D4" w:rsidRPr="00E637E0" w:rsidRDefault="00E637E0" w:rsidP="00E637E0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  <w:r w:rsidRPr="00E637E0">
              <w:rPr>
                <w:rFonts w:cs="Arial"/>
                <w:sz w:val="22"/>
                <w:szCs w:val="22"/>
              </w:rPr>
              <w:t>Koszt obejmuje kawę, herba</w:t>
            </w:r>
            <w:r w:rsidR="008D5001">
              <w:rPr>
                <w:rFonts w:cs="Arial"/>
                <w:sz w:val="22"/>
                <w:szCs w:val="22"/>
              </w:rPr>
              <w:t>tę, wodę, mleko, cukier, cytrynę</w:t>
            </w:r>
            <w:r w:rsidRPr="00E637E0">
              <w:rPr>
                <w:rFonts w:cs="Arial"/>
                <w:sz w:val="22"/>
                <w:szCs w:val="22"/>
              </w:rPr>
              <w:t>, drobne słone lub słodkie przekąski typu paluszki lub kruche ciastka lub owoce, przy czym istnieje możliwość szerszego zakresu usługi, o ile mieści się w określonej cenie rynkowej.</w:t>
            </w:r>
          </w:p>
          <w:p w14:paraId="04CE3392" w14:textId="77777777" w:rsidR="00E637E0" w:rsidRPr="00E637E0" w:rsidRDefault="00E637E0" w:rsidP="00E637E0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  <w:p w14:paraId="50B2C87B" w14:textId="0A461A49" w:rsidR="00E637E0" w:rsidRPr="00E637E0" w:rsidRDefault="00E637E0" w:rsidP="00E637E0">
            <w:pPr>
              <w:pStyle w:val="Default"/>
              <w:jc w:val="both"/>
              <w:rPr>
                <w:sz w:val="22"/>
                <w:szCs w:val="22"/>
              </w:rPr>
            </w:pPr>
            <w:r w:rsidRPr="00E637E0">
              <w:rPr>
                <w:rFonts w:cs="Arial"/>
                <w:sz w:val="22"/>
                <w:szCs w:val="22"/>
              </w:rPr>
              <w:t>Cena rynkowa powinna być uzależniona od rodzaju oferowanej usługi i jest niższa, jeśli finansowany jest mniejszy zakres usługi (np. kawa, herbata, woda, mleko, cukier, cytryna bez drobnych słonych lub słodkich przekąsek)</w:t>
            </w:r>
            <w:r w:rsidR="006855DB">
              <w:rPr>
                <w:rFonts w:cs="Arial"/>
                <w:sz w:val="22"/>
                <w:szCs w:val="22"/>
              </w:rPr>
              <w:t>.</w:t>
            </w:r>
          </w:p>
        </w:tc>
      </w:tr>
      <w:tr w:rsidR="004829D4" w:rsidRPr="00EE3BC9" w14:paraId="6746E79E" w14:textId="77777777" w:rsidTr="008E417C">
        <w:trPr>
          <w:trHeight w:val="1191"/>
        </w:trPr>
        <w:tc>
          <w:tcPr>
            <w:tcW w:w="567" w:type="dxa"/>
          </w:tcPr>
          <w:p w14:paraId="2D012D2C" w14:textId="49A50D99" w:rsidR="004829D4" w:rsidRPr="00184683" w:rsidRDefault="00EF49D0" w:rsidP="00184683">
            <w:pPr>
              <w:pStyle w:val="Default"/>
              <w:ind w:right="-10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956" w:type="dxa"/>
          </w:tcPr>
          <w:p w14:paraId="212EB266" w14:textId="2836B721" w:rsidR="004829D4" w:rsidRPr="00184683" w:rsidRDefault="00184683" w:rsidP="00184683">
            <w:pPr>
              <w:pStyle w:val="Default"/>
              <w:ind w:right="-108"/>
              <w:jc w:val="center"/>
              <w:rPr>
                <w:b/>
                <w:bCs/>
                <w:strike/>
                <w:sz w:val="22"/>
                <w:szCs w:val="22"/>
              </w:rPr>
            </w:pPr>
            <w:r w:rsidRPr="00184683">
              <w:rPr>
                <w:rFonts w:cs="Arial"/>
                <w:b/>
                <w:bCs/>
                <w:sz w:val="22"/>
                <w:szCs w:val="22"/>
              </w:rPr>
              <w:t>zimny bufet</w:t>
            </w:r>
          </w:p>
        </w:tc>
        <w:tc>
          <w:tcPr>
            <w:tcW w:w="1701" w:type="dxa"/>
          </w:tcPr>
          <w:p w14:paraId="177EBC7D" w14:textId="17ED1BC0" w:rsidR="004829D4" w:rsidRPr="00184683" w:rsidRDefault="00184683" w:rsidP="00184683">
            <w:pPr>
              <w:pStyle w:val="Default"/>
              <w:jc w:val="center"/>
              <w:rPr>
                <w:strike/>
                <w:sz w:val="22"/>
                <w:szCs w:val="22"/>
              </w:rPr>
            </w:pPr>
            <w:r w:rsidRPr="00184683">
              <w:rPr>
                <w:rFonts w:cs="Arial"/>
                <w:sz w:val="22"/>
                <w:szCs w:val="22"/>
              </w:rPr>
              <w:t>25 zł za osobodzień szkoleniowy</w:t>
            </w:r>
          </w:p>
        </w:tc>
        <w:tc>
          <w:tcPr>
            <w:tcW w:w="4819" w:type="dxa"/>
          </w:tcPr>
          <w:p w14:paraId="27E01AD0" w14:textId="2CB41763" w:rsidR="00184683" w:rsidRDefault="00184683" w:rsidP="00184683">
            <w:pPr>
              <w:spacing w:after="0" w:line="240" w:lineRule="auto"/>
              <w:jc w:val="both"/>
              <w:rPr>
                <w:rFonts w:ascii="Calibri" w:hAnsi="Calibri" w:cs="Arial"/>
              </w:rPr>
            </w:pPr>
            <w:r w:rsidRPr="00184683">
              <w:rPr>
                <w:rFonts w:ascii="Calibri" w:hAnsi="Calibri" w:cs="Arial"/>
              </w:rPr>
              <w:t xml:space="preserve">Wydatek kwalifikowalny, o ile forma wsparcia, w ramach której ma być świadczony zimny bufet, dla tej samej grupy osób w danym dniu trwa co najmniej 4 godziny lekcyjne (tj. 4 x 45 minut) i nie jest przewidziany lunch/obiad. </w:t>
            </w:r>
          </w:p>
          <w:p w14:paraId="3450754F" w14:textId="77777777" w:rsidR="00184683" w:rsidRPr="00184683" w:rsidRDefault="00184683" w:rsidP="00184683">
            <w:pPr>
              <w:spacing w:after="0" w:line="240" w:lineRule="auto"/>
              <w:jc w:val="both"/>
              <w:rPr>
                <w:rFonts w:ascii="Calibri" w:hAnsi="Calibri" w:cs="Arial"/>
              </w:rPr>
            </w:pPr>
          </w:p>
          <w:p w14:paraId="182EDB65" w14:textId="0E2EF898" w:rsidR="004829D4" w:rsidRPr="00184683" w:rsidRDefault="00184683" w:rsidP="00184683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  <w:r w:rsidRPr="00184683">
              <w:rPr>
                <w:rFonts w:cs="Arial"/>
                <w:sz w:val="22"/>
                <w:szCs w:val="22"/>
              </w:rPr>
              <w:t>Koszt obejmuje kawę, herbatę, wodę, soki, mleko, cukier, cytryn</w:t>
            </w:r>
            <w:r w:rsidR="00BD7E97">
              <w:rPr>
                <w:rFonts w:cs="Arial"/>
                <w:sz w:val="22"/>
                <w:szCs w:val="22"/>
              </w:rPr>
              <w:t>ę</w:t>
            </w:r>
            <w:r w:rsidRPr="00184683">
              <w:rPr>
                <w:rFonts w:cs="Arial"/>
                <w:sz w:val="22"/>
                <w:szCs w:val="22"/>
              </w:rPr>
              <w:t>, drobne słone lub słodkie przekąski typu paluszki lub kruche ciastka lub owoce, kanapki, przekąski koktajlowe, przy czym istnieje możliwość szerszego zakresu usługi, o ile mieści się w określonej cenie rynkowej.</w:t>
            </w:r>
          </w:p>
          <w:p w14:paraId="15A6F50E" w14:textId="77777777" w:rsidR="00184683" w:rsidRPr="00184683" w:rsidRDefault="00184683" w:rsidP="00184683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  <w:p w14:paraId="7411BB2F" w14:textId="3D3CECC9" w:rsidR="00184683" w:rsidRPr="00184683" w:rsidRDefault="00184683" w:rsidP="00184683">
            <w:pPr>
              <w:pStyle w:val="Default"/>
              <w:jc w:val="both"/>
              <w:rPr>
                <w:strike/>
                <w:sz w:val="22"/>
                <w:szCs w:val="22"/>
              </w:rPr>
            </w:pPr>
            <w:r w:rsidRPr="00184683">
              <w:rPr>
                <w:rFonts w:cs="Arial"/>
                <w:sz w:val="22"/>
                <w:szCs w:val="22"/>
              </w:rPr>
              <w:lastRenderedPageBreak/>
              <w:t>Cena rynkowa powinna być uzależniona od  rodzaju oferowanej usługi i jest niższa, jeśli finansowany jest mniejszy zakres usługi.</w:t>
            </w:r>
          </w:p>
        </w:tc>
      </w:tr>
      <w:tr w:rsidR="004829D4" w:rsidRPr="00EE3BC9" w14:paraId="5EEA67C5" w14:textId="77777777" w:rsidTr="008E417C">
        <w:trPr>
          <w:trHeight w:val="1191"/>
        </w:trPr>
        <w:tc>
          <w:tcPr>
            <w:tcW w:w="567" w:type="dxa"/>
          </w:tcPr>
          <w:p w14:paraId="263087D2" w14:textId="5C076FEF" w:rsidR="004829D4" w:rsidRPr="00186AE5" w:rsidRDefault="00EF49D0" w:rsidP="00186AE5">
            <w:pPr>
              <w:pStyle w:val="Default"/>
              <w:ind w:right="-10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6</w:t>
            </w:r>
          </w:p>
        </w:tc>
        <w:tc>
          <w:tcPr>
            <w:tcW w:w="1956" w:type="dxa"/>
            <w:shd w:val="clear" w:color="auto" w:fill="auto"/>
          </w:tcPr>
          <w:p w14:paraId="2ED73A96" w14:textId="339F61BE" w:rsidR="004829D4" w:rsidRPr="00186AE5" w:rsidRDefault="00186AE5" w:rsidP="00186AE5">
            <w:pPr>
              <w:pStyle w:val="Default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186AE5">
              <w:rPr>
                <w:rFonts w:cs="Arial"/>
                <w:b/>
                <w:bCs/>
                <w:sz w:val="22"/>
                <w:szCs w:val="22"/>
              </w:rPr>
              <w:t>lunch/obiad</w:t>
            </w:r>
          </w:p>
        </w:tc>
        <w:tc>
          <w:tcPr>
            <w:tcW w:w="1701" w:type="dxa"/>
            <w:shd w:val="clear" w:color="auto" w:fill="auto"/>
          </w:tcPr>
          <w:p w14:paraId="11EF6848" w14:textId="46032B9F" w:rsidR="004829D4" w:rsidRPr="00186AE5" w:rsidRDefault="00186AE5" w:rsidP="00186AE5">
            <w:pPr>
              <w:pStyle w:val="Default"/>
              <w:jc w:val="center"/>
              <w:rPr>
                <w:sz w:val="22"/>
                <w:szCs w:val="22"/>
              </w:rPr>
            </w:pPr>
            <w:r w:rsidRPr="00186AE5">
              <w:rPr>
                <w:rFonts w:cs="Arial"/>
                <w:sz w:val="22"/>
                <w:szCs w:val="22"/>
              </w:rPr>
              <w:t>44 zł za osobodzień szkoleniowy</w:t>
            </w:r>
          </w:p>
        </w:tc>
        <w:tc>
          <w:tcPr>
            <w:tcW w:w="4819" w:type="dxa"/>
            <w:shd w:val="clear" w:color="auto" w:fill="auto"/>
          </w:tcPr>
          <w:p w14:paraId="3B13297A" w14:textId="3A4D68FB" w:rsidR="00186AE5" w:rsidRDefault="00186AE5" w:rsidP="00186AE5">
            <w:pPr>
              <w:spacing w:after="0" w:line="240" w:lineRule="auto"/>
              <w:jc w:val="both"/>
              <w:rPr>
                <w:rFonts w:ascii="Calibri" w:hAnsi="Calibri" w:cs="Arial"/>
              </w:rPr>
            </w:pPr>
            <w:r w:rsidRPr="00186AE5">
              <w:rPr>
                <w:rFonts w:ascii="Calibri" w:hAnsi="Calibri" w:cs="Arial"/>
              </w:rPr>
              <w:t>Wydatek kwalifikowalny, o ile wsparcie dla tej samej grupy osób w danym dniu trwa co najmniej 6 godzin lekcyjnych (tj. 6 x 45 minut) i nie jest przewidziany zimny bufet.</w:t>
            </w:r>
          </w:p>
          <w:p w14:paraId="0FC5D138" w14:textId="77777777" w:rsidR="00186AE5" w:rsidRPr="00186AE5" w:rsidRDefault="00186AE5" w:rsidP="00186AE5">
            <w:pPr>
              <w:spacing w:after="0" w:line="240" w:lineRule="auto"/>
              <w:jc w:val="both"/>
              <w:rPr>
                <w:rFonts w:ascii="Calibri" w:hAnsi="Calibri" w:cs="Arial"/>
              </w:rPr>
            </w:pPr>
          </w:p>
          <w:p w14:paraId="218AB10B" w14:textId="7B0F43B7" w:rsidR="00186AE5" w:rsidRDefault="00186AE5" w:rsidP="00186AE5">
            <w:pPr>
              <w:spacing w:after="0" w:line="240" w:lineRule="auto"/>
              <w:jc w:val="both"/>
              <w:rPr>
                <w:rFonts w:ascii="Calibri" w:hAnsi="Calibri" w:cs="Arial"/>
              </w:rPr>
            </w:pPr>
            <w:r w:rsidRPr="00186AE5">
              <w:rPr>
                <w:rFonts w:ascii="Calibri" w:hAnsi="Calibri" w:cs="Arial"/>
              </w:rPr>
              <w:t>Koszt obejmuje dwa dania (zupa i drugie danie) oraz napój, przy czym istnieje możliwość szerszego zakresu usługi, o ile mieści się w określonej cenie rynkowej.</w:t>
            </w:r>
          </w:p>
          <w:p w14:paraId="32F8063F" w14:textId="77777777" w:rsidR="00186AE5" w:rsidRPr="00186AE5" w:rsidRDefault="00186AE5" w:rsidP="00186AE5">
            <w:pPr>
              <w:spacing w:after="0" w:line="240" w:lineRule="auto"/>
              <w:jc w:val="both"/>
              <w:rPr>
                <w:rFonts w:ascii="Calibri" w:hAnsi="Calibri" w:cs="Arial"/>
              </w:rPr>
            </w:pPr>
          </w:p>
          <w:p w14:paraId="28805931" w14:textId="539111FD" w:rsidR="004829D4" w:rsidRPr="00186AE5" w:rsidRDefault="00186AE5" w:rsidP="00186AE5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186AE5">
              <w:rPr>
                <w:rFonts w:ascii="Calibri" w:hAnsi="Calibri" w:cs="Arial"/>
              </w:rPr>
              <w:t>Cena rynkowa powinna być uzależniona od  rodzaju oferowanej usługi i jest niższa, jeśli finansowany jest mniejszy zakres usługi (np. obiad składający się tylko z drugiego dania i napoju).</w:t>
            </w:r>
          </w:p>
        </w:tc>
      </w:tr>
      <w:tr w:rsidR="00960FD6" w:rsidRPr="00EE3BC9" w14:paraId="1FC15A99" w14:textId="77777777" w:rsidTr="008E417C">
        <w:trPr>
          <w:trHeight w:val="1191"/>
        </w:trPr>
        <w:tc>
          <w:tcPr>
            <w:tcW w:w="567" w:type="dxa"/>
          </w:tcPr>
          <w:p w14:paraId="6892B3BF" w14:textId="245E1D5C" w:rsidR="00960FD6" w:rsidRPr="00186AE5" w:rsidRDefault="00EF49D0" w:rsidP="00186AE5">
            <w:pPr>
              <w:pStyle w:val="Default"/>
              <w:ind w:right="-10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956" w:type="dxa"/>
            <w:shd w:val="clear" w:color="auto" w:fill="auto"/>
          </w:tcPr>
          <w:p w14:paraId="5F069CFF" w14:textId="188A50B9" w:rsidR="00960FD6" w:rsidRPr="00186AE5" w:rsidRDefault="00960FD6" w:rsidP="00960FD6">
            <w:pPr>
              <w:pStyle w:val="Default"/>
              <w:ind w:right="-108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zwrot kosztów</w:t>
            </w:r>
            <w:r w:rsidRPr="00960FD6">
              <w:rPr>
                <w:rFonts w:cs="Arial"/>
                <w:b/>
                <w:bCs/>
                <w:sz w:val="22"/>
                <w:szCs w:val="22"/>
              </w:rPr>
              <w:t xml:space="preserve"> dojazdu</w:t>
            </w:r>
          </w:p>
        </w:tc>
        <w:tc>
          <w:tcPr>
            <w:tcW w:w="1701" w:type="dxa"/>
            <w:shd w:val="clear" w:color="auto" w:fill="auto"/>
          </w:tcPr>
          <w:p w14:paraId="1BC1D115" w14:textId="3287993C" w:rsidR="00960FD6" w:rsidRPr="00186AE5" w:rsidRDefault="00960FD6" w:rsidP="00960FD6">
            <w:pPr>
              <w:pStyle w:val="Default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</w:t>
            </w:r>
            <w:r w:rsidRPr="009D1AF4">
              <w:rPr>
                <w:rFonts w:asciiTheme="minorHAnsi" w:hAnsiTheme="minorHAnsi"/>
                <w:sz w:val="22"/>
                <w:szCs w:val="22"/>
              </w:rPr>
              <w:t xml:space="preserve"> zależności od miejsca zamieszkania </w:t>
            </w:r>
            <w:r>
              <w:rPr>
                <w:rFonts w:asciiTheme="minorHAnsi" w:hAnsiTheme="minorHAnsi"/>
                <w:sz w:val="22"/>
                <w:szCs w:val="22"/>
              </w:rPr>
              <w:t>uczestnika projektu</w:t>
            </w:r>
            <w:r w:rsidRPr="009D1AF4">
              <w:rPr>
                <w:rFonts w:asciiTheme="minorHAnsi" w:hAnsiTheme="minorHAnsi"/>
                <w:sz w:val="22"/>
                <w:szCs w:val="22"/>
              </w:rPr>
              <w:t xml:space="preserve"> i miejsca </w:t>
            </w:r>
            <w:r>
              <w:rPr>
                <w:rFonts w:asciiTheme="minorHAnsi" w:hAnsiTheme="minorHAnsi"/>
                <w:sz w:val="22"/>
                <w:szCs w:val="22"/>
              </w:rPr>
              <w:t>szkolenia</w:t>
            </w:r>
          </w:p>
        </w:tc>
        <w:tc>
          <w:tcPr>
            <w:tcW w:w="4819" w:type="dxa"/>
            <w:shd w:val="clear" w:color="auto" w:fill="auto"/>
          </w:tcPr>
          <w:p w14:paraId="0D6E7741" w14:textId="5BDE595A" w:rsidR="00960FD6" w:rsidRDefault="00960FD6" w:rsidP="00960FD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 oparciu o </w:t>
            </w:r>
            <w:r w:rsidRPr="00960FD6">
              <w:rPr>
                <w:bCs/>
                <w:sz w:val="22"/>
                <w:szCs w:val="22"/>
              </w:rPr>
              <w:t>cennik operatora komunikacji publicznej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(do wysokości opłat za środki transportu publicznego szynowego lub kołowego zgodnie z cennikiem biletów II klasy obowiązującym na danym obszarze), także w przypadku korzystania ze środków transportu prywatnego (w szczególności samochod</w:t>
            </w:r>
            <w:r w:rsidR="00B81713">
              <w:rPr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 xml:space="preserve">). </w:t>
            </w:r>
          </w:p>
          <w:p w14:paraId="61E1C3D7" w14:textId="77777777" w:rsidR="00960FD6" w:rsidRDefault="00960FD6" w:rsidP="00960FD6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D22F708" w14:textId="2AEC03A4" w:rsidR="00960FD6" w:rsidRDefault="00960FD6" w:rsidP="00960FD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 RPO WK-P dopuszcza również możliwość korzystania z usług przewoźników prywatnych, jeżeli jest to racjonalne (tj. danej trasy nie obsługuje tańszy przewoźnik publiczny, trasa jest obsługiwana przez przewoźnika publicznego w nieadekwatnych godzinach albo ceny usług przewoźnika prywatnego i publicznego są zbliżone). </w:t>
            </w:r>
          </w:p>
          <w:p w14:paraId="316BC546" w14:textId="77777777" w:rsidR="00960FD6" w:rsidRDefault="00960FD6" w:rsidP="00960FD6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757EE26D" w14:textId="1A77E967" w:rsidR="00960FD6" w:rsidRPr="00186AE5" w:rsidRDefault="00960FD6" w:rsidP="00960FD6">
            <w:pPr>
              <w:spacing w:after="0" w:line="240" w:lineRule="auto"/>
              <w:jc w:val="both"/>
              <w:rPr>
                <w:rFonts w:ascii="Calibri" w:hAnsi="Calibri" w:cs="Arial"/>
              </w:rPr>
            </w:pPr>
            <w:r>
              <w:t>We wniosku o dofinansowanie projektu należy zamieścić uzasadnienie dla założonego poziomu kosztów dojazdu.</w:t>
            </w:r>
          </w:p>
        </w:tc>
      </w:tr>
    </w:tbl>
    <w:p w14:paraId="57C02248" w14:textId="77777777" w:rsidR="000648C7" w:rsidRDefault="000648C7" w:rsidP="000648C7">
      <w:pPr>
        <w:tabs>
          <w:tab w:val="left" w:pos="7065"/>
        </w:tabs>
        <w:spacing w:after="0"/>
      </w:pPr>
    </w:p>
    <w:p w14:paraId="6BF796AD" w14:textId="345F2656" w:rsidR="000648C7" w:rsidRDefault="000648C7" w:rsidP="000648C7">
      <w:pPr>
        <w:pStyle w:val="Default"/>
        <w:spacing w:line="276" w:lineRule="auto"/>
        <w:jc w:val="both"/>
      </w:pPr>
      <w:r w:rsidRPr="003F48CD">
        <w:rPr>
          <w:sz w:val="22"/>
          <w:szCs w:val="22"/>
        </w:rPr>
        <w:t xml:space="preserve">Kwoty ujęte w </w:t>
      </w:r>
      <w:r>
        <w:rPr>
          <w:sz w:val="22"/>
          <w:szCs w:val="22"/>
        </w:rPr>
        <w:t xml:space="preserve">poz. 3-7 powyżej </w:t>
      </w:r>
      <w:r w:rsidRPr="003F48CD">
        <w:rPr>
          <w:sz w:val="22"/>
          <w:szCs w:val="22"/>
        </w:rPr>
        <w:t>uwzględniają wartość brutto wydatku</w:t>
      </w:r>
      <w:r>
        <w:rPr>
          <w:sz w:val="22"/>
          <w:szCs w:val="22"/>
        </w:rPr>
        <w:t>.</w:t>
      </w:r>
    </w:p>
    <w:p w14:paraId="4DD9CB7A" w14:textId="77777777" w:rsidR="000648C7" w:rsidRPr="00E446ED" w:rsidRDefault="000648C7" w:rsidP="000648C7">
      <w:pPr>
        <w:tabs>
          <w:tab w:val="left" w:pos="7065"/>
        </w:tabs>
        <w:spacing w:after="0"/>
        <w:sectPr w:rsidR="000648C7" w:rsidRPr="00E446ED" w:rsidSect="000A5A2F">
          <w:headerReference w:type="first" r:id="rId8"/>
          <w:footerReference w:type="first" r:id="rId9"/>
          <w:type w:val="continuous"/>
          <w:pgSz w:w="11906" w:h="16838"/>
          <w:pgMar w:top="1417" w:right="1417" w:bottom="1417" w:left="1417" w:header="142" w:footer="708" w:gutter="0"/>
          <w:cols w:space="708"/>
          <w:titlePg/>
          <w:docGrid w:linePitch="360"/>
        </w:sectPr>
      </w:pPr>
    </w:p>
    <w:tbl>
      <w:tblPr>
        <w:tblStyle w:val="Tabela-Siatka"/>
        <w:tblpPr w:leftFromText="141" w:rightFromText="141" w:vertAnchor="text" w:horzAnchor="margin" w:tblpX="108" w:tblpY="174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9E37A8" w14:paraId="444CE943" w14:textId="77777777" w:rsidTr="000A5A2F">
        <w:trPr>
          <w:trHeight w:val="283"/>
        </w:trPr>
        <w:tc>
          <w:tcPr>
            <w:tcW w:w="9039" w:type="dxa"/>
            <w:shd w:val="clear" w:color="auto" w:fill="D9D9D9" w:themeFill="background1" w:themeFillShade="D9"/>
          </w:tcPr>
          <w:p w14:paraId="3068ECB0" w14:textId="2C6DA609" w:rsidR="009E37A8" w:rsidRDefault="009E37A8" w:rsidP="000A5A2F">
            <w:pPr>
              <w:spacing w:line="276" w:lineRule="auto"/>
              <w:jc w:val="both"/>
            </w:pPr>
            <w:r w:rsidRPr="00FC44EF">
              <w:rPr>
                <w:b/>
              </w:rPr>
              <w:t>Stawk</w:t>
            </w:r>
            <w:r w:rsidR="00FD6FB4">
              <w:rPr>
                <w:b/>
              </w:rPr>
              <w:t>a</w:t>
            </w:r>
            <w:r w:rsidRPr="00FC44EF">
              <w:rPr>
                <w:b/>
              </w:rPr>
              <w:t xml:space="preserve"> jednostkow</w:t>
            </w:r>
            <w:r w:rsidR="00FD6FB4">
              <w:rPr>
                <w:b/>
              </w:rPr>
              <w:t>a</w:t>
            </w:r>
          </w:p>
        </w:tc>
      </w:tr>
    </w:tbl>
    <w:p w14:paraId="559D9A90" w14:textId="77777777" w:rsidR="00FC44EF" w:rsidRDefault="00FC44EF" w:rsidP="00FC44EF">
      <w:pPr>
        <w:spacing w:after="0"/>
        <w:jc w:val="both"/>
      </w:pPr>
    </w:p>
    <w:p w14:paraId="70849EF6" w14:textId="398A62DA" w:rsidR="00531939" w:rsidRDefault="005F56C5" w:rsidP="000A5A2F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Calibri" w:eastAsia="Times New Roman" w:hAnsi="Calibri" w:cs="Calibri"/>
        </w:rPr>
      </w:pPr>
      <w:r w:rsidRPr="005F56C5">
        <w:rPr>
          <w:rFonts w:ascii="Calibri" w:eastAsia="Times New Roman" w:hAnsi="Calibri" w:cs="Calibri"/>
        </w:rPr>
        <w:t xml:space="preserve">Wsparcie bezzwrotne na rozpoczęcie działalności gospodarczej </w:t>
      </w:r>
      <w:r>
        <w:rPr>
          <w:rFonts w:ascii="Calibri" w:eastAsia="Times New Roman" w:hAnsi="Calibri" w:cs="Calibri"/>
        </w:rPr>
        <w:t xml:space="preserve">(dotacja) </w:t>
      </w:r>
      <w:r w:rsidRPr="005F56C5">
        <w:rPr>
          <w:rFonts w:ascii="Calibri" w:eastAsia="Times New Roman" w:hAnsi="Calibri" w:cs="Calibri"/>
        </w:rPr>
        <w:t xml:space="preserve">jest przyznawane </w:t>
      </w:r>
      <w:r>
        <w:rPr>
          <w:rFonts w:ascii="Calibri" w:eastAsia="Times New Roman" w:hAnsi="Calibri" w:cs="Calibri"/>
        </w:rPr>
        <w:t xml:space="preserve">w konkursie </w:t>
      </w:r>
      <w:r w:rsidRPr="005F56C5">
        <w:rPr>
          <w:rFonts w:ascii="Calibri" w:eastAsia="Times New Roman" w:hAnsi="Calibri" w:cs="Calibri"/>
        </w:rPr>
        <w:t xml:space="preserve">wyłącznie w formie stawki jednostkowej (stawka jednostkowa na samozatrudnienie). </w:t>
      </w:r>
      <w:r w:rsidR="00FD6FB4" w:rsidRPr="00531939">
        <w:rPr>
          <w:rFonts w:ascii="Calibri" w:eastAsia="Times New Roman" w:hAnsi="Calibri" w:cs="Calibri"/>
        </w:rPr>
        <w:t xml:space="preserve"> </w:t>
      </w:r>
    </w:p>
    <w:p w14:paraId="05F00929" w14:textId="77777777" w:rsidR="00531939" w:rsidRPr="00531939" w:rsidRDefault="00531939" w:rsidP="000A5A2F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Calibri" w:eastAsia="Times New Roman" w:hAnsi="Calibri" w:cs="Calibri"/>
        </w:rPr>
      </w:pPr>
    </w:p>
    <w:p w14:paraId="4A268EB9" w14:textId="77777777" w:rsidR="00531939" w:rsidRDefault="00531939" w:rsidP="000A5A2F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Wnioskodawca jest zobowiązany do rozliczenia stawki jednostkowej </w:t>
      </w:r>
      <w:r w:rsidRPr="00531939">
        <w:rPr>
          <w:rFonts w:ascii="Calibri" w:hAnsi="Calibri" w:cs="Arial"/>
        </w:rPr>
        <w:t>zgodnie z następującymi założeniami</w:t>
      </w:r>
      <w:r>
        <w:rPr>
          <w:rFonts w:ascii="Calibri" w:hAnsi="Calibri" w:cs="Arial"/>
        </w:rPr>
        <w:t>:</w:t>
      </w:r>
    </w:p>
    <w:p w14:paraId="1F6906A8" w14:textId="77777777" w:rsidR="00531939" w:rsidRDefault="00531939" w:rsidP="000A5A2F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Calibri" w:hAnsi="Calibri" w:cs="Arial"/>
        </w:rPr>
      </w:pPr>
    </w:p>
    <w:p w14:paraId="517629BF" w14:textId="4400A328" w:rsidR="00531939" w:rsidRDefault="00531939" w:rsidP="000A5A2F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Calibri" w:hAnsi="Calibri" w:cs="Arial"/>
        </w:rPr>
      </w:pPr>
      <w:r w:rsidRPr="00531939">
        <w:rPr>
          <w:rFonts w:ascii="Calibri" w:hAnsi="Calibri" w:cs="Arial"/>
        </w:rPr>
        <w:t xml:space="preserve">Z uczestnikiem projektu, którego biznesplan został pozytywnie oceniony i zaakceptowany, </w:t>
      </w:r>
      <w:r w:rsidRPr="00531939">
        <w:rPr>
          <w:rFonts w:ascii="Calibri" w:hAnsi="Calibri" w:cs="Arial"/>
        </w:rPr>
        <w:lastRenderedPageBreak/>
        <w:t>podpisywana jest umowa udzielenia wsparcia finansowego na rozpoczęcie działalności gospodarczej w wysokości równej stawce jednostkowej (</w:t>
      </w:r>
      <w:r w:rsidRPr="00ED0EFA">
        <w:rPr>
          <w:rFonts w:ascii="Calibri" w:hAnsi="Calibri" w:cs="Arial"/>
          <w:b/>
        </w:rPr>
        <w:t>23 050 zł</w:t>
      </w:r>
      <w:r w:rsidRPr="00531939">
        <w:rPr>
          <w:rFonts w:ascii="Calibri" w:hAnsi="Calibri" w:cs="Arial"/>
        </w:rPr>
        <w:t>), która zawiera zobowiązanie do prowadzenia i utrzymania działalności przez co najmniej 12 miesięcy pod rygorem zwrotu środków.</w:t>
      </w:r>
    </w:p>
    <w:p w14:paraId="67801729" w14:textId="77777777" w:rsidR="00531939" w:rsidRPr="00531939" w:rsidRDefault="00531939" w:rsidP="000A5A2F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Calibri" w:hAnsi="Calibri" w:cs="Arial"/>
        </w:rPr>
      </w:pPr>
    </w:p>
    <w:p w14:paraId="13963BE8" w14:textId="00EB8DB5" w:rsidR="00531939" w:rsidRDefault="00531939" w:rsidP="000A5A2F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Calibri" w:hAnsi="Calibri" w:cs="Arial"/>
        </w:rPr>
      </w:pPr>
      <w:r w:rsidRPr="00531939">
        <w:rPr>
          <w:rFonts w:ascii="Calibri" w:hAnsi="Calibri" w:cs="Arial"/>
        </w:rPr>
        <w:t>Stawka jednostkowa jest wykazana we wniosku o płatność przez beneficjenta jako wydatek kwalifikowalny po jej wypłaceniu na rzecz uczestnika</w:t>
      </w:r>
      <w:r w:rsidR="00271ADA">
        <w:rPr>
          <w:rFonts w:ascii="Calibri" w:hAnsi="Calibri" w:cs="Arial"/>
        </w:rPr>
        <w:t xml:space="preserve"> projektu</w:t>
      </w:r>
      <w:r w:rsidRPr="00531939">
        <w:rPr>
          <w:rFonts w:ascii="Calibri" w:hAnsi="Calibri" w:cs="Arial"/>
        </w:rPr>
        <w:t xml:space="preserve">. Stawka jednostkowa jest kwalifikowalna, jeżeli osiągnięty zostanie określony dla niej wskaźnik </w:t>
      </w:r>
      <w:r w:rsidR="00B724C5">
        <w:rPr>
          <w:rFonts w:ascii="Calibri" w:hAnsi="Calibri" w:cs="Arial"/>
        </w:rPr>
        <w:t>„L</w:t>
      </w:r>
      <w:r w:rsidRPr="00B724C5">
        <w:rPr>
          <w:rFonts w:ascii="Calibri" w:hAnsi="Calibri" w:cs="Arial"/>
        </w:rPr>
        <w:t>iczba osób, które podjęły działalność gospodarczą</w:t>
      </w:r>
      <w:r w:rsidR="00B724C5">
        <w:rPr>
          <w:rFonts w:ascii="Calibri" w:hAnsi="Calibri" w:cs="Arial"/>
        </w:rPr>
        <w:t>”</w:t>
      </w:r>
      <w:r w:rsidRPr="00531939">
        <w:rPr>
          <w:rFonts w:ascii="Calibri" w:hAnsi="Calibri" w:cs="Arial"/>
        </w:rPr>
        <w:t xml:space="preserve">, a </w:t>
      </w:r>
      <w:r>
        <w:rPr>
          <w:rFonts w:ascii="Calibri" w:hAnsi="Calibri" w:cs="Arial"/>
        </w:rPr>
        <w:t>beneficjent</w:t>
      </w:r>
      <w:r w:rsidRPr="00531939">
        <w:rPr>
          <w:rFonts w:ascii="Calibri" w:hAnsi="Calibri" w:cs="Arial"/>
        </w:rPr>
        <w:t xml:space="preserve"> będzie posiadał dokumenty niezbędne do rozliczenia stawki jednostkowej potwierdzające podjęcie działalności gospodarczej. W przypadku</w:t>
      </w:r>
      <w:r w:rsidR="00271ADA">
        <w:rPr>
          <w:rFonts w:ascii="Calibri" w:hAnsi="Calibri" w:cs="Arial"/>
        </w:rPr>
        <w:t>,</w:t>
      </w:r>
      <w:r w:rsidRPr="00531939">
        <w:rPr>
          <w:rFonts w:ascii="Calibri" w:hAnsi="Calibri" w:cs="Arial"/>
        </w:rPr>
        <w:t xml:space="preserve"> gdy działalność gospodarcza nie zostanie podjęta lub nie zostanie zachowany minimalny okres utrzymania działalności gospodarczej, o którym mowa powyżej, stawka jednostkowa podlega zwrotowi.</w:t>
      </w:r>
    </w:p>
    <w:p w14:paraId="1A3F5D62" w14:textId="72FA90B6" w:rsidR="00FC44EF" w:rsidRDefault="00FC44EF" w:rsidP="00B35EE7">
      <w:pPr>
        <w:jc w:val="both"/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4"/>
        <w:gridCol w:w="2782"/>
        <w:gridCol w:w="3927"/>
      </w:tblGrid>
      <w:tr w:rsidR="000A5A2F" w:rsidRPr="00634E17" w14:paraId="7E6E548C" w14:textId="77777777" w:rsidTr="000A5A2F">
        <w:tc>
          <w:tcPr>
            <w:tcW w:w="1303" w:type="pct"/>
            <w:shd w:val="clear" w:color="auto" w:fill="auto"/>
          </w:tcPr>
          <w:p w14:paraId="1A37E836" w14:textId="77777777" w:rsidR="00531939" w:rsidRPr="00531939" w:rsidRDefault="00531939" w:rsidP="00531939">
            <w:pPr>
              <w:spacing w:after="0"/>
              <w:rPr>
                <w:rFonts w:ascii="Calibri" w:hAnsi="Calibri" w:cs="Arial"/>
                <w:b/>
              </w:rPr>
            </w:pPr>
            <w:r w:rsidRPr="00531939">
              <w:rPr>
                <w:rFonts w:ascii="Calibri" w:hAnsi="Calibri" w:cs="Arial"/>
                <w:b/>
              </w:rPr>
              <w:t>Nazwa wskaźnika rozliczającego stawkę jednostkową</w:t>
            </w:r>
          </w:p>
        </w:tc>
        <w:tc>
          <w:tcPr>
            <w:tcW w:w="3697" w:type="pct"/>
            <w:gridSpan w:val="2"/>
            <w:shd w:val="clear" w:color="auto" w:fill="auto"/>
          </w:tcPr>
          <w:p w14:paraId="6DD423CD" w14:textId="77777777" w:rsidR="00531939" w:rsidRPr="00531939" w:rsidRDefault="00531939" w:rsidP="00531939">
            <w:pPr>
              <w:spacing w:after="0"/>
              <w:jc w:val="both"/>
              <w:rPr>
                <w:rFonts w:ascii="Calibri" w:hAnsi="Calibri" w:cs="Arial"/>
                <w:u w:val="single"/>
              </w:rPr>
            </w:pPr>
            <w:r w:rsidRPr="00531939">
              <w:rPr>
                <w:rFonts w:ascii="Calibri" w:hAnsi="Calibri" w:cs="Arial"/>
              </w:rPr>
              <w:t>Liczba osób, które podjęły działalność gospodarczą</w:t>
            </w:r>
          </w:p>
        </w:tc>
      </w:tr>
      <w:tr w:rsidR="000A5A2F" w:rsidRPr="00634E17" w14:paraId="63E8EDF7" w14:textId="77777777" w:rsidTr="000A5A2F">
        <w:tc>
          <w:tcPr>
            <w:tcW w:w="1303" w:type="pct"/>
            <w:shd w:val="clear" w:color="auto" w:fill="auto"/>
          </w:tcPr>
          <w:p w14:paraId="69AE8068" w14:textId="77777777" w:rsidR="00531939" w:rsidRPr="00531939" w:rsidRDefault="00531939" w:rsidP="00531939">
            <w:pPr>
              <w:spacing w:after="0"/>
              <w:rPr>
                <w:rFonts w:ascii="Calibri" w:hAnsi="Calibri" w:cs="Arial"/>
                <w:b/>
              </w:rPr>
            </w:pPr>
            <w:r w:rsidRPr="00531939">
              <w:rPr>
                <w:rFonts w:ascii="Calibri" w:hAnsi="Calibri" w:cs="Arial"/>
                <w:b/>
              </w:rPr>
              <w:t>Definicja wskaźnika rozliczającego stawkę jednostkową</w:t>
            </w:r>
          </w:p>
        </w:tc>
        <w:tc>
          <w:tcPr>
            <w:tcW w:w="3697" w:type="pct"/>
            <w:gridSpan w:val="2"/>
            <w:shd w:val="clear" w:color="auto" w:fill="auto"/>
          </w:tcPr>
          <w:p w14:paraId="6681183B" w14:textId="155BC6D3" w:rsidR="00531939" w:rsidRPr="00531939" w:rsidRDefault="00271ADA" w:rsidP="00271ADA">
            <w:pPr>
              <w:spacing w:after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Do osiągnię</w:t>
            </w:r>
            <w:r w:rsidR="00531939" w:rsidRPr="00531939">
              <w:rPr>
                <w:rFonts w:ascii="Calibri" w:hAnsi="Calibri" w:cs="Arial"/>
              </w:rPr>
              <w:t>cia wskaźnika można wliczyć osobę (uczestnika projektu EFS), która łącznie spełnia następujące warunki:</w:t>
            </w:r>
          </w:p>
          <w:p w14:paraId="018B7258" w14:textId="5020B1D0" w:rsidR="00531939" w:rsidRPr="00531939" w:rsidRDefault="00531939" w:rsidP="00271ADA">
            <w:pPr>
              <w:numPr>
                <w:ilvl w:val="0"/>
                <w:numId w:val="8"/>
              </w:numPr>
              <w:spacing w:after="0"/>
              <w:rPr>
                <w:rFonts w:ascii="Calibri" w:hAnsi="Calibri" w:cs="Arial"/>
              </w:rPr>
            </w:pPr>
            <w:r w:rsidRPr="00531939">
              <w:rPr>
                <w:rFonts w:ascii="Calibri" w:hAnsi="Calibri" w:cs="Arial"/>
              </w:rPr>
              <w:t>zarejestrowała działalność w CE</w:t>
            </w:r>
            <w:r w:rsidR="00271ADA">
              <w:rPr>
                <w:rFonts w:ascii="Calibri" w:hAnsi="Calibri" w:cs="Arial"/>
              </w:rPr>
              <w:t>I</w:t>
            </w:r>
            <w:r w:rsidRPr="00531939">
              <w:rPr>
                <w:rFonts w:ascii="Calibri" w:hAnsi="Calibri" w:cs="Arial"/>
              </w:rPr>
              <w:t>DG lub KRS</w:t>
            </w:r>
          </w:p>
          <w:p w14:paraId="5DAE4474" w14:textId="77777777" w:rsidR="00531939" w:rsidRPr="00531939" w:rsidRDefault="00531939" w:rsidP="00271ADA">
            <w:pPr>
              <w:numPr>
                <w:ilvl w:val="0"/>
                <w:numId w:val="8"/>
              </w:numPr>
              <w:spacing w:after="0"/>
              <w:rPr>
                <w:rFonts w:ascii="Calibri" w:hAnsi="Calibri" w:cs="Arial"/>
              </w:rPr>
            </w:pPr>
            <w:r w:rsidRPr="00531939">
              <w:rPr>
                <w:rFonts w:ascii="Calibri" w:hAnsi="Calibri" w:cs="Arial"/>
              </w:rPr>
              <w:t>podpisała umowę dofinansowania podjęcia działalności gospodarczej opisanej w biznesplanie, zawierającą zobowiązanie do prowadzenia działalności nieprzerwanie przez minimalny okres 12 miesięcy oraz</w:t>
            </w:r>
          </w:p>
          <w:p w14:paraId="0184EF9C" w14:textId="34BC072D" w:rsidR="00531939" w:rsidRPr="00531939" w:rsidRDefault="00531939" w:rsidP="00545927">
            <w:pPr>
              <w:numPr>
                <w:ilvl w:val="0"/>
                <w:numId w:val="8"/>
              </w:numPr>
              <w:spacing w:after="0"/>
              <w:rPr>
                <w:rFonts w:ascii="Calibri" w:hAnsi="Calibri" w:cs="Arial"/>
              </w:rPr>
            </w:pPr>
            <w:r w:rsidRPr="00531939">
              <w:rPr>
                <w:rFonts w:ascii="Calibri" w:hAnsi="Calibri" w:cs="Arial"/>
              </w:rPr>
              <w:t xml:space="preserve">otrzymała środki od beneficjenta na podjęcie działalności gospodarczej w wysokości wynikającej ze stawki jednostkowej  </w:t>
            </w:r>
          </w:p>
        </w:tc>
      </w:tr>
      <w:tr w:rsidR="000A5A2F" w:rsidRPr="00634E17" w14:paraId="317E0671" w14:textId="77777777" w:rsidTr="000A5A2F">
        <w:trPr>
          <w:trHeight w:val="445"/>
        </w:trPr>
        <w:tc>
          <w:tcPr>
            <w:tcW w:w="1303" w:type="pct"/>
            <w:vMerge w:val="restart"/>
            <w:shd w:val="clear" w:color="auto" w:fill="auto"/>
          </w:tcPr>
          <w:p w14:paraId="79FE02B5" w14:textId="77777777" w:rsidR="00531939" w:rsidRPr="00531939" w:rsidRDefault="00531939" w:rsidP="00531939">
            <w:pPr>
              <w:spacing w:after="0"/>
              <w:rPr>
                <w:rFonts w:ascii="Calibri" w:hAnsi="Calibri" w:cs="Arial"/>
                <w:b/>
                <w:u w:val="single"/>
              </w:rPr>
            </w:pPr>
            <w:r w:rsidRPr="00531939">
              <w:rPr>
                <w:rFonts w:ascii="Calibri" w:hAnsi="Calibri" w:cs="Arial"/>
                <w:b/>
              </w:rPr>
              <w:t>Dokumenty  niezbędne do rozliczenia stawki</w:t>
            </w:r>
          </w:p>
        </w:tc>
        <w:tc>
          <w:tcPr>
            <w:tcW w:w="1533" w:type="pct"/>
            <w:vMerge w:val="restart"/>
            <w:shd w:val="clear" w:color="auto" w:fill="auto"/>
          </w:tcPr>
          <w:p w14:paraId="20BAC73A" w14:textId="77777777" w:rsidR="00531939" w:rsidRPr="00531939" w:rsidRDefault="00531939" w:rsidP="00531939">
            <w:pPr>
              <w:spacing w:after="0"/>
              <w:rPr>
                <w:rFonts w:ascii="Calibri" w:hAnsi="Calibri" w:cs="Arial"/>
              </w:rPr>
            </w:pPr>
            <w:r w:rsidRPr="00531939">
              <w:rPr>
                <w:rFonts w:ascii="Calibri" w:hAnsi="Calibri" w:cs="Arial"/>
              </w:rPr>
              <w:t>Etap udzielenia wsparcia – podjęcie działalności gospodarczej</w:t>
            </w:r>
          </w:p>
        </w:tc>
        <w:tc>
          <w:tcPr>
            <w:tcW w:w="2164" w:type="pct"/>
            <w:shd w:val="clear" w:color="auto" w:fill="auto"/>
          </w:tcPr>
          <w:p w14:paraId="3879BE15" w14:textId="6341098F" w:rsidR="00531939" w:rsidRPr="00531939" w:rsidRDefault="00531939" w:rsidP="00271ADA">
            <w:pPr>
              <w:spacing w:after="0"/>
              <w:rPr>
                <w:rFonts w:ascii="Calibri" w:hAnsi="Calibri" w:cs="Arial"/>
              </w:rPr>
            </w:pPr>
            <w:r w:rsidRPr="00531939">
              <w:rPr>
                <w:rFonts w:ascii="Calibri" w:hAnsi="Calibri" w:cs="Arial"/>
              </w:rPr>
              <w:t>Potwierdzenie wpisu do CE</w:t>
            </w:r>
            <w:r w:rsidR="00271ADA">
              <w:rPr>
                <w:rFonts w:ascii="Calibri" w:hAnsi="Calibri" w:cs="Arial"/>
              </w:rPr>
              <w:t>I</w:t>
            </w:r>
            <w:r w:rsidRPr="00531939">
              <w:rPr>
                <w:rFonts w:ascii="Calibri" w:hAnsi="Calibri" w:cs="Arial"/>
              </w:rPr>
              <w:t>DG albo KRS o rozpoczęciu działalności gospodarczej wraz z datą jej rozpoczęcia</w:t>
            </w:r>
          </w:p>
        </w:tc>
      </w:tr>
      <w:tr w:rsidR="000A5A2F" w:rsidRPr="00634E17" w14:paraId="3D94FD77" w14:textId="77777777" w:rsidTr="000A5A2F">
        <w:trPr>
          <w:trHeight w:val="283"/>
        </w:trPr>
        <w:tc>
          <w:tcPr>
            <w:tcW w:w="1303" w:type="pct"/>
            <w:vMerge/>
            <w:shd w:val="clear" w:color="auto" w:fill="auto"/>
          </w:tcPr>
          <w:p w14:paraId="4AC9FC96" w14:textId="77777777" w:rsidR="00531939" w:rsidRPr="00531939" w:rsidRDefault="00531939" w:rsidP="00531939">
            <w:pPr>
              <w:spacing w:after="0"/>
              <w:rPr>
                <w:rFonts w:ascii="Calibri" w:hAnsi="Calibri" w:cs="Arial"/>
                <w:b/>
              </w:rPr>
            </w:pPr>
          </w:p>
        </w:tc>
        <w:tc>
          <w:tcPr>
            <w:tcW w:w="1533" w:type="pct"/>
            <w:vMerge/>
            <w:shd w:val="clear" w:color="auto" w:fill="auto"/>
          </w:tcPr>
          <w:p w14:paraId="41EBD0AC" w14:textId="77777777" w:rsidR="00531939" w:rsidRPr="00531939" w:rsidRDefault="00531939" w:rsidP="00531939">
            <w:pPr>
              <w:spacing w:after="0"/>
              <w:rPr>
                <w:rFonts w:ascii="Calibri" w:hAnsi="Calibri" w:cs="Arial"/>
              </w:rPr>
            </w:pPr>
          </w:p>
        </w:tc>
        <w:tc>
          <w:tcPr>
            <w:tcW w:w="2164" w:type="pct"/>
            <w:shd w:val="clear" w:color="auto" w:fill="auto"/>
          </w:tcPr>
          <w:p w14:paraId="0EB12995" w14:textId="77777777" w:rsidR="00531939" w:rsidRPr="00531939" w:rsidRDefault="00531939" w:rsidP="00531939">
            <w:pPr>
              <w:spacing w:after="0"/>
              <w:rPr>
                <w:rFonts w:ascii="Calibri" w:hAnsi="Calibri" w:cs="Arial"/>
              </w:rPr>
            </w:pPr>
            <w:r w:rsidRPr="00531939">
              <w:rPr>
                <w:rFonts w:ascii="Calibri" w:hAnsi="Calibri" w:cs="Arial"/>
              </w:rPr>
              <w:t>Umowa dofinansowania podjęcia działalności gospodarczej</w:t>
            </w:r>
          </w:p>
        </w:tc>
      </w:tr>
      <w:tr w:rsidR="000A5A2F" w:rsidRPr="00634E17" w14:paraId="0E592045" w14:textId="77777777" w:rsidTr="000A5A2F">
        <w:trPr>
          <w:trHeight w:val="776"/>
        </w:trPr>
        <w:tc>
          <w:tcPr>
            <w:tcW w:w="1303" w:type="pct"/>
            <w:vMerge/>
            <w:shd w:val="clear" w:color="auto" w:fill="auto"/>
          </w:tcPr>
          <w:p w14:paraId="17CC8AE3" w14:textId="77777777" w:rsidR="00531939" w:rsidRPr="00531939" w:rsidRDefault="00531939" w:rsidP="00531939">
            <w:pPr>
              <w:spacing w:after="0"/>
              <w:rPr>
                <w:rFonts w:ascii="Calibri" w:hAnsi="Calibri" w:cs="Arial"/>
                <w:b/>
              </w:rPr>
            </w:pPr>
          </w:p>
        </w:tc>
        <w:tc>
          <w:tcPr>
            <w:tcW w:w="1533" w:type="pct"/>
            <w:vMerge/>
            <w:shd w:val="clear" w:color="auto" w:fill="auto"/>
          </w:tcPr>
          <w:p w14:paraId="1CF8D2FA" w14:textId="77777777" w:rsidR="00531939" w:rsidRPr="00531939" w:rsidRDefault="00531939" w:rsidP="00531939">
            <w:pPr>
              <w:spacing w:after="0"/>
              <w:rPr>
                <w:rFonts w:ascii="Calibri" w:hAnsi="Calibri" w:cs="Arial"/>
              </w:rPr>
            </w:pPr>
          </w:p>
        </w:tc>
        <w:tc>
          <w:tcPr>
            <w:tcW w:w="2164" w:type="pct"/>
            <w:shd w:val="clear" w:color="auto" w:fill="auto"/>
          </w:tcPr>
          <w:p w14:paraId="10C27041" w14:textId="77777777" w:rsidR="00531939" w:rsidRPr="00531939" w:rsidRDefault="00531939" w:rsidP="00271ADA">
            <w:pPr>
              <w:spacing w:after="0"/>
              <w:rPr>
                <w:rFonts w:ascii="Calibri" w:hAnsi="Calibri" w:cs="Arial"/>
              </w:rPr>
            </w:pPr>
            <w:r w:rsidRPr="00531939">
              <w:rPr>
                <w:rFonts w:ascii="Calibri" w:hAnsi="Calibri" w:cs="Arial"/>
              </w:rPr>
              <w:t>Kopia potwierdzenia przelewu dofinansowania na rachunek uczestnika projektu wskazany w umowie dofinansowania podjęcia działalności gospodarczej</w:t>
            </w:r>
          </w:p>
        </w:tc>
      </w:tr>
      <w:tr w:rsidR="000A5A2F" w:rsidRPr="00634E17" w14:paraId="40DF526B" w14:textId="77777777" w:rsidTr="000A5A2F">
        <w:trPr>
          <w:trHeight w:val="992"/>
        </w:trPr>
        <w:tc>
          <w:tcPr>
            <w:tcW w:w="1303" w:type="pct"/>
            <w:vMerge/>
            <w:shd w:val="clear" w:color="auto" w:fill="auto"/>
          </w:tcPr>
          <w:p w14:paraId="0C37A274" w14:textId="77777777" w:rsidR="00531939" w:rsidRPr="00531939" w:rsidRDefault="00531939" w:rsidP="00531939">
            <w:pPr>
              <w:spacing w:after="0"/>
              <w:rPr>
                <w:rFonts w:ascii="Calibri" w:hAnsi="Calibri" w:cs="Arial"/>
              </w:rPr>
            </w:pPr>
          </w:p>
        </w:tc>
        <w:tc>
          <w:tcPr>
            <w:tcW w:w="1533" w:type="pct"/>
            <w:shd w:val="clear" w:color="auto" w:fill="auto"/>
          </w:tcPr>
          <w:p w14:paraId="4D5FF622" w14:textId="77777777" w:rsidR="00531939" w:rsidRPr="00531939" w:rsidRDefault="00531939" w:rsidP="00531939">
            <w:pPr>
              <w:spacing w:after="0"/>
              <w:rPr>
                <w:rFonts w:ascii="Calibri" w:hAnsi="Calibri" w:cs="Arial"/>
              </w:rPr>
            </w:pPr>
            <w:r w:rsidRPr="00531939">
              <w:rPr>
                <w:rFonts w:ascii="Calibri" w:hAnsi="Calibri" w:cs="Arial"/>
              </w:rPr>
              <w:t>Etap po zakończeniu minimalnego okresu utrzymania działalności gospodarczej</w:t>
            </w:r>
          </w:p>
        </w:tc>
        <w:tc>
          <w:tcPr>
            <w:tcW w:w="2164" w:type="pct"/>
            <w:shd w:val="clear" w:color="auto" w:fill="auto"/>
          </w:tcPr>
          <w:p w14:paraId="757266D1" w14:textId="4B9759B9" w:rsidR="00531939" w:rsidRPr="00531939" w:rsidRDefault="00531939" w:rsidP="00545927">
            <w:pPr>
              <w:spacing w:after="0"/>
              <w:rPr>
                <w:rFonts w:ascii="Calibri" w:hAnsi="Calibri" w:cs="Arial"/>
              </w:rPr>
            </w:pPr>
            <w:r w:rsidRPr="00531939">
              <w:rPr>
                <w:rFonts w:ascii="Calibri" w:hAnsi="Calibri" w:cs="Arial"/>
              </w:rPr>
              <w:t>Potwierdzenie nieprzerwanego prowadzenia działalności gospodarczej w wymaganym okresie (na podstawie informacji zawartych w CE</w:t>
            </w:r>
            <w:r w:rsidR="00271ADA">
              <w:rPr>
                <w:rFonts w:ascii="Calibri" w:hAnsi="Calibri" w:cs="Arial"/>
              </w:rPr>
              <w:t>I</w:t>
            </w:r>
            <w:r w:rsidRPr="00531939">
              <w:rPr>
                <w:rFonts w:ascii="Calibri" w:hAnsi="Calibri" w:cs="Arial"/>
              </w:rPr>
              <w:t>DG albo KRS), które podlega archiwizacji przez beneficjenta</w:t>
            </w:r>
          </w:p>
        </w:tc>
      </w:tr>
      <w:tr w:rsidR="000A5A2F" w:rsidRPr="00634E17" w14:paraId="66051C1C" w14:textId="77777777" w:rsidTr="000A5A2F">
        <w:trPr>
          <w:trHeight w:val="244"/>
        </w:trPr>
        <w:tc>
          <w:tcPr>
            <w:tcW w:w="1303" w:type="pct"/>
            <w:vMerge w:val="restart"/>
            <w:shd w:val="clear" w:color="auto" w:fill="auto"/>
          </w:tcPr>
          <w:p w14:paraId="52699B53" w14:textId="77777777" w:rsidR="00531939" w:rsidRPr="00531939" w:rsidRDefault="00531939" w:rsidP="00531939">
            <w:pPr>
              <w:spacing w:after="0"/>
              <w:rPr>
                <w:rFonts w:ascii="Calibri" w:hAnsi="Calibri" w:cs="Arial"/>
              </w:rPr>
            </w:pPr>
            <w:r w:rsidRPr="00531939">
              <w:rPr>
                <w:rFonts w:ascii="Calibri" w:hAnsi="Calibri" w:cs="Arial"/>
                <w:b/>
              </w:rPr>
              <w:t xml:space="preserve">Obowiązki beneficjenta w okresie </w:t>
            </w:r>
            <w:r w:rsidRPr="00531939">
              <w:rPr>
                <w:rFonts w:ascii="Calibri" w:hAnsi="Calibri" w:cs="Arial"/>
                <w:b/>
              </w:rPr>
              <w:lastRenderedPageBreak/>
              <w:t>trwania minimalnego okresu utrzymania miejsca pracy</w:t>
            </w:r>
          </w:p>
        </w:tc>
        <w:tc>
          <w:tcPr>
            <w:tcW w:w="1533" w:type="pct"/>
            <w:vMerge w:val="restart"/>
            <w:shd w:val="clear" w:color="auto" w:fill="auto"/>
          </w:tcPr>
          <w:p w14:paraId="3878B1CB" w14:textId="77777777" w:rsidR="00531939" w:rsidRPr="00531939" w:rsidRDefault="00531939" w:rsidP="00531939">
            <w:pPr>
              <w:spacing w:after="0"/>
              <w:rPr>
                <w:rFonts w:ascii="Calibri" w:hAnsi="Calibri" w:cs="Arial"/>
              </w:rPr>
            </w:pPr>
            <w:r w:rsidRPr="00531939">
              <w:rPr>
                <w:rFonts w:ascii="Calibri" w:hAnsi="Calibri" w:cs="Arial"/>
              </w:rPr>
              <w:lastRenderedPageBreak/>
              <w:t xml:space="preserve">Etap trwania minimalnego okresu utrzymania </w:t>
            </w:r>
            <w:r w:rsidRPr="00531939">
              <w:rPr>
                <w:rFonts w:ascii="Calibri" w:hAnsi="Calibri" w:cs="Arial"/>
              </w:rPr>
              <w:lastRenderedPageBreak/>
              <w:t>działalności gospodarczej (co najmniej 12 m-cy</w:t>
            </w:r>
            <w:r w:rsidRPr="00531939">
              <w:rPr>
                <w:rStyle w:val="Odwoanieprzypisudolnego"/>
                <w:rFonts w:ascii="Calibri" w:hAnsi="Calibri" w:cs="Arial"/>
              </w:rPr>
              <w:footnoteReference w:id="3"/>
            </w:r>
            <w:r w:rsidRPr="00531939">
              <w:rPr>
                <w:rFonts w:ascii="Calibri" w:hAnsi="Calibri" w:cs="Arial"/>
              </w:rPr>
              <w:t>)</w:t>
            </w:r>
          </w:p>
        </w:tc>
        <w:tc>
          <w:tcPr>
            <w:tcW w:w="2164" w:type="pct"/>
            <w:shd w:val="clear" w:color="auto" w:fill="auto"/>
          </w:tcPr>
          <w:p w14:paraId="09498F24" w14:textId="77777777" w:rsidR="00531939" w:rsidRPr="00531939" w:rsidRDefault="00531939" w:rsidP="00271ADA">
            <w:pPr>
              <w:spacing w:after="0"/>
              <w:rPr>
                <w:rFonts w:ascii="Calibri" w:hAnsi="Calibri" w:cs="Arial"/>
              </w:rPr>
            </w:pPr>
            <w:r w:rsidRPr="00531939">
              <w:rPr>
                <w:rFonts w:ascii="Calibri" w:hAnsi="Calibri" w:cs="Arial"/>
              </w:rPr>
              <w:lastRenderedPageBreak/>
              <w:t>Kontrola prowadzonej działalności gospodarczej</w:t>
            </w:r>
          </w:p>
        </w:tc>
      </w:tr>
      <w:tr w:rsidR="000A5A2F" w:rsidRPr="00634E17" w14:paraId="33B88BEB" w14:textId="77777777" w:rsidTr="000A5A2F">
        <w:trPr>
          <w:trHeight w:val="719"/>
        </w:trPr>
        <w:tc>
          <w:tcPr>
            <w:tcW w:w="1303" w:type="pct"/>
            <w:vMerge/>
            <w:shd w:val="clear" w:color="auto" w:fill="auto"/>
          </w:tcPr>
          <w:p w14:paraId="6D145BAD" w14:textId="77777777" w:rsidR="00531939" w:rsidRPr="00531939" w:rsidRDefault="00531939" w:rsidP="00531939">
            <w:pPr>
              <w:spacing w:after="0"/>
              <w:rPr>
                <w:rFonts w:ascii="Calibri" w:hAnsi="Calibri" w:cs="Arial"/>
                <w:b/>
              </w:rPr>
            </w:pPr>
          </w:p>
        </w:tc>
        <w:tc>
          <w:tcPr>
            <w:tcW w:w="1533" w:type="pct"/>
            <w:vMerge/>
            <w:shd w:val="clear" w:color="auto" w:fill="auto"/>
          </w:tcPr>
          <w:p w14:paraId="410DDF34" w14:textId="77777777" w:rsidR="00531939" w:rsidRPr="00531939" w:rsidRDefault="00531939" w:rsidP="00531939">
            <w:pPr>
              <w:spacing w:after="0"/>
              <w:rPr>
                <w:rFonts w:ascii="Calibri" w:hAnsi="Calibri" w:cs="Arial"/>
              </w:rPr>
            </w:pPr>
          </w:p>
        </w:tc>
        <w:tc>
          <w:tcPr>
            <w:tcW w:w="2164" w:type="pct"/>
            <w:shd w:val="clear" w:color="auto" w:fill="auto"/>
          </w:tcPr>
          <w:p w14:paraId="4C38A256" w14:textId="7A3C5C25" w:rsidR="00531939" w:rsidRPr="00531939" w:rsidRDefault="00531939" w:rsidP="00545927">
            <w:pPr>
              <w:spacing w:after="0"/>
              <w:rPr>
                <w:rFonts w:ascii="Calibri" w:hAnsi="Calibri" w:cs="Arial"/>
              </w:rPr>
            </w:pPr>
            <w:r w:rsidRPr="00531939">
              <w:rPr>
                <w:rFonts w:ascii="Calibri" w:hAnsi="Calibri" w:cs="Arial"/>
              </w:rPr>
              <w:t>Pozyskanie przez beneficjenta potwierdzenia opłacania przez uczestnika projektu EFS składek ZUS</w:t>
            </w:r>
          </w:p>
        </w:tc>
      </w:tr>
      <w:tr w:rsidR="000A5A2F" w:rsidRPr="005B0970" w14:paraId="2FF44E63" w14:textId="77777777" w:rsidTr="000A5A2F">
        <w:trPr>
          <w:trHeight w:val="1170"/>
        </w:trPr>
        <w:tc>
          <w:tcPr>
            <w:tcW w:w="1303" w:type="pct"/>
            <w:shd w:val="clear" w:color="auto" w:fill="auto"/>
          </w:tcPr>
          <w:p w14:paraId="49DC8592" w14:textId="77777777" w:rsidR="00531939" w:rsidRPr="00531939" w:rsidRDefault="00531939" w:rsidP="00531939">
            <w:pPr>
              <w:spacing w:after="0"/>
              <w:rPr>
                <w:rFonts w:ascii="Calibri" w:hAnsi="Calibri" w:cs="Arial"/>
                <w:b/>
              </w:rPr>
            </w:pPr>
            <w:r w:rsidRPr="00531939">
              <w:rPr>
                <w:rFonts w:ascii="Calibri" w:hAnsi="Calibri" w:cs="Arial"/>
                <w:b/>
              </w:rPr>
              <w:t>Warunki kwalifikowalności stawki</w:t>
            </w:r>
          </w:p>
        </w:tc>
        <w:tc>
          <w:tcPr>
            <w:tcW w:w="1533" w:type="pct"/>
            <w:shd w:val="clear" w:color="auto" w:fill="auto"/>
          </w:tcPr>
          <w:p w14:paraId="2BFD0BA8" w14:textId="77777777" w:rsidR="00531939" w:rsidRPr="00531939" w:rsidRDefault="00531939" w:rsidP="00531939">
            <w:pPr>
              <w:spacing w:after="0"/>
              <w:rPr>
                <w:rFonts w:ascii="Calibri" w:hAnsi="Calibri" w:cs="Arial"/>
              </w:rPr>
            </w:pPr>
          </w:p>
        </w:tc>
        <w:tc>
          <w:tcPr>
            <w:tcW w:w="2164" w:type="pct"/>
            <w:shd w:val="clear" w:color="auto" w:fill="auto"/>
          </w:tcPr>
          <w:p w14:paraId="25B4E8CD" w14:textId="77777777" w:rsidR="00531939" w:rsidRDefault="00531939" w:rsidP="00271ADA">
            <w:pPr>
              <w:spacing w:after="0"/>
              <w:rPr>
                <w:rFonts w:ascii="Calibri" w:hAnsi="Calibri" w:cs="Arial"/>
              </w:rPr>
            </w:pPr>
            <w:r w:rsidRPr="00531939">
              <w:rPr>
                <w:rFonts w:ascii="Calibri" w:hAnsi="Calibri" w:cs="Arial"/>
              </w:rPr>
              <w:t>Utrzymanie działalności gospodarczej przez minimalny wymagany okres (12 m-cy)</w:t>
            </w:r>
          </w:p>
          <w:p w14:paraId="78A7DEFD" w14:textId="77777777" w:rsidR="00545927" w:rsidRPr="00531939" w:rsidRDefault="00545927" w:rsidP="00271ADA">
            <w:pPr>
              <w:spacing w:after="0"/>
              <w:rPr>
                <w:rFonts w:ascii="Calibri" w:hAnsi="Calibri" w:cs="Arial"/>
              </w:rPr>
            </w:pPr>
          </w:p>
          <w:p w14:paraId="2853BFDD" w14:textId="77777777" w:rsidR="00531939" w:rsidRPr="00531939" w:rsidRDefault="00531939" w:rsidP="00271ADA">
            <w:pPr>
              <w:spacing w:after="0"/>
              <w:rPr>
                <w:rFonts w:ascii="Calibri" w:hAnsi="Calibri" w:cs="Arial"/>
              </w:rPr>
            </w:pPr>
            <w:r w:rsidRPr="00531939">
              <w:rPr>
                <w:rFonts w:ascii="Calibri" w:hAnsi="Calibri" w:cs="Arial"/>
              </w:rPr>
              <w:t>Potwierdzenie prowadzenia przez uczestnika projektu dofinansowanej działalności gospodarczej</w:t>
            </w:r>
          </w:p>
        </w:tc>
      </w:tr>
    </w:tbl>
    <w:p w14:paraId="49373891" w14:textId="77777777" w:rsidR="00FC44EF" w:rsidRPr="00271ADA" w:rsidRDefault="00FC44EF" w:rsidP="00271ADA">
      <w:pPr>
        <w:spacing w:after="0"/>
        <w:jc w:val="both"/>
        <w:rPr>
          <w:rFonts w:ascii="Calibri" w:hAnsi="Calibri"/>
        </w:rPr>
      </w:pPr>
    </w:p>
    <w:p w14:paraId="1EC1AECB" w14:textId="6563214D" w:rsidR="00271ADA" w:rsidRPr="00271ADA" w:rsidRDefault="00545927" w:rsidP="00271ADA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spacing w:after="0"/>
        <w:contextualSpacing/>
        <w:jc w:val="both"/>
        <w:rPr>
          <w:rFonts w:ascii="Calibri" w:eastAsia="Calibri" w:hAnsi="Calibri" w:cs="Arial"/>
          <w:color w:val="000000"/>
        </w:rPr>
      </w:pPr>
      <w:r>
        <w:rPr>
          <w:rFonts w:ascii="Calibri" w:hAnsi="Calibri" w:cs="Arial"/>
        </w:rPr>
        <w:t>B</w:t>
      </w:r>
      <w:r w:rsidR="00271ADA">
        <w:rPr>
          <w:rFonts w:ascii="Calibri" w:hAnsi="Calibri" w:cs="Arial"/>
        </w:rPr>
        <w:t>eneficjent jest zobowiązany do przeprowadzenia w</w:t>
      </w:r>
      <w:r w:rsidR="00271ADA" w:rsidRPr="00271ADA">
        <w:rPr>
          <w:rFonts w:ascii="Calibri" w:hAnsi="Calibri" w:cs="Arial"/>
        </w:rPr>
        <w:t xml:space="preserve"> okresie trwałości wsparcia kontrol</w:t>
      </w:r>
      <w:r w:rsidR="00271ADA">
        <w:rPr>
          <w:rFonts w:ascii="Calibri" w:hAnsi="Calibri" w:cs="Arial"/>
        </w:rPr>
        <w:t>i</w:t>
      </w:r>
      <w:r w:rsidR="00271ADA" w:rsidRPr="00271ADA">
        <w:rPr>
          <w:rFonts w:ascii="Calibri" w:hAnsi="Calibri" w:cs="Arial"/>
        </w:rPr>
        <w:t xml:space="preserve"> każdej dofinansowanej w projekcie działalności gospodarczej w celu potwierdzenia prowadzenia działalności gospodarczej przez wymagany okres. Kontrole przeprowadzane są nie później niż przed złożeniem końcowego wniosku o płatność.</w:t>
      </w:r>
    </w:p>
    <w:p w14:paraId="3CCF2D65" w14:textId="77777777" w:rsidR="00271ADA" w:rsidRDefault="00271ADA" w:rsidP="00271ADA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spacing w:after="0"/>
        <w:contextualSpacing/>
        <w:jc w:val="both"/>
        <w:rPr>
          <w:rFonts w:ascii="Calibri" w:eastAsia="Calibri" w:hAnsi="Calibri" w:cs="Arial"/>
          <w:color w:val="000000"/>
        </w:rPr>
      </w:pPr>
    </w:p>
    <w:p w14:paraId="075B5B12" w14:textId="2701677B" w:rsidR="00271ADA" w:rsidRPr="00271ADA" w:rsidRDefault="00271ADA" w:rsidP="00271ADA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spacing w:after="0"/>
        <w:contextualSpacing/>
        <w:jc w:val="both"/>
        <w:rPr>
          <w:rFonts w:ascii="Calibri" w:eastAsia="Calibri" w:hAnsi="Calibri" w:cs="Arial"/>
          <w:color w:val="000000"/>
        </w:rPr>
      </w:pPr>
      <w:r w:rsidRPr="00271ADA">
        <w:rPr>
          <w:rFonts w:ascii="Calibri" w:eastAsia="Calibri" w:hAnsi="Calibri" w:cs="Arial"/>
          <w:color w:val="000000"/>
        </w:rPr>
        <w:t xml:space="preserve">Podczas  kontroli, o której mowa </w:t>
      </w:r>
      <w:r>
        <w:rPr>
          <w:rFonts w:ascii="Calibri" w:eastAsia="Calibri" w:hAnsi="Calibri" w:cs="Arial"/>
          <w:color w:val="000000"/>
        </w:rPr>
        <w:t>powyżej</w:t>
      </w:r>
      <w:r w:rsidRPr="00271ADA">
        <w:rPr>
          <w:rFonts w:ascii="Calibri" w:eastAsia="Calibri" w:hAnsi="Calibri" w:cs="Arial"/>
          <w:color w:val="000000"/>
        </w:rPr>
        <w:t>, nie są weryfikowane dokumenty księgowe oraz zgodność wysokości poniesionych wydatków z szacunkowym budżetem z biznesplanu. Przedmiotem kontroli jest ustalenie, czy dotowana działalność gospodarcza jest rzeczywiście prowadzona. W tym celu kontrola odbywa się w miejscu prowadzenia działalności gospodarczej lub w oparciu o dokumenty dotyczące prowadzonej działalności (w zależności od charakteru prowadzonej działalności)</w:t>
      </w:r>
      <w:r w:rsidR="00545927">
        <w:rPr>
          <w:rFonts w:ascii="Calibri" w:eastAsia="Calibri" w:hAnsi="Calibri" w:cs="Arial"/>
          <w:color w:val="000000"/>
        </w:rPr>
        <w:t>.</w:t>
      </w:r>
      <w:r w:rsidRPr="00271ADA">
        <w:rPr>
          <w:rFonts w:ascii="Calibri" w:eastAsia="Calibri" w:hAnsi="Calibri" w:cs="Arial"/>
          <w:color w:val="000000"/>
        </w:rPr>
        <w:t xml:space="preserve"> Sprawdzeniu podlega np. czy jest prowadzona księgowość przedsięwzięcia (np. księga przychodów i rozchodów), czy są odprowadzane składki do ZUS, czy są dokonywane rozliczenia z US, czy są zawierane umowy z klientami, czy wyciągi bankowe potwierdzają dokonywanie sprzedaży w ramach prowadzonej działalności, czy jest prowadzona strona internetowa działalności gospodarczej, itp. W sytuacji, gdy na podstawie kontroli stwierdzony zostanie brak rzeczywistego prowadzenia działalności gospodarczej, wsparcie finansowe podlega zwrotowi.  </w:t>
      </w:r>
    </w:p>
    <w:p w14:paraId="0884CAD6" w14:textId="77777777" w:rsidR="00271ADA" w:rsidRDefault="00271ADA" w:rsidP="00271ADA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spacing w:after="0"/>
        <w:contextualSpacing/>
        <w:jc w:val="both"/>
        <w:rPr>
          <w:rFonts w:ascii="Calibri" w:eastAsia="Calibri" w:hAnsi="Calibri" w:cs="Arial"/>
          <w:color w:val="000000"/>
        </w:rPr>
      </w:pPr>
    </w:p>
    <w:p w14:paraId="56C1734A" w14:textId="132DDE7B" w:rsidR="00271ADA" w:rsidRPr="00271ADA" w:rsidRDefault="00271ADA" w:rsidP="00271ADA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spacing w:after="0"/>
        <w:contextualSpacing/>
        <w:jc w:val="both"/>
        <w:rPr>
          <w:rFonts w:ascii="Calibri" w:eastAsia="Calibri" w:hAnsi="Calibri" w:cs="Arial"/>
          <w:color w:val="000000"/>
        </w:rPr>
      </w:pPr>
      <w:r w:rsidRPr="00271ADA">
        <w:rPr>
          <w:rFonts w:ascii="Calibri" w:eastAsia="Calibri" w:hAnsi="Calibri" w:cs="Arial"/>
          <w:color w:val="000000"/>
        </w:rPr>
        <w:t>Za datę rozpoczęcia i zakończenia udziału we wsparciu należy uznać datę wypłaty środków uczestnikowi projektu na podjęcie działalności gospodarczej</w:t>
      </w:r>
      <w:r>
        <w:rPr>
          <w:rFonts w:ascii="Calibri" w:eastAsia="Calibri" w:hAnsi="Calibri" w:cs="Arial"/>
          <w:color w:val="000000"/>
        </w:rPr>
        <w:t xml:space="preserve"> (dotacji)</w:t>
      </w:r>
      <w:r w:rsidRPr="00271ADA">
        <w:rPr>
          <w:rFonts w:ascii="Calibri" w:eastAsia="Calibri" w:hAnsi="Calibri" w:cs="Arial"/>
          <w:color w:val="000000"/>
        </w:rPr>
        <w:t xml:space="preserve">, o ile uczestnik nie otrzymał innej niż </w:t>
      </w:r>
      <w:r>
        <w:rPr>
          <w:rFonts w:ascii="Calibri" w:eastAsia="Calibri" w:hAnsi="Calibri" w:cs="Arial"/>
          <w:color w:val="000000"/>
        </w:rPr>
        <w:t>dotacja</w:t>
      </w:r>
      <w:r w:rsidRPr="00271ADA">
        <w:rPr>
          <w:rFonts w:ascii="Calibri" w:eastAsia="Calibri" w:hAnsi="Calibri" w:cs="Arial"/>
          <w:color w:val="000000"/>
        </w:rPr>
        <w:t xml:space="preserve"> formy wsparcia. </w:t>
      </w:r>
    </w:p>
    <w:p w14:paraId="6681DFA0" w14:textId="77777777" w:rsidR="00FC44EF" w:rsidRDefault="00FC44EF" w:rsidP="00B35EE7">
      <w:pPr>
        <w:jc w:val="both"/>
      </w:pPr>
    </w:p>
    <w:p w14:paraId="520D2176" w14:textId="71458571" w:rsidR="003F48CD" w:rsidRPr="003F48CD" w:rsidRDefault="003F48CD" w:rsidP="00E446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right" w:pos="9072"/>
        </w:tabs>
        <w:jc w:val="both"/>
        <w:rPr>
          <w:b/>
        </w:rPr>
      </w:pPr>
      <w:r w:rsidRPr="003F48CD">
        <w:rPr>
          <w:b/>
        </w:rPr>
        <w:t>Zalecenia odnośnie</w:t>
      </w:r>
      <w:r w:rsidR="00024D90">
        <w:rPr>
          <w:b/>
        </w:rPr>
        <w:t xml:space="preserve"> do</w:t>
      </w:r>
      <w:r w:rsidRPr="003F48CD">
        <w:rPr>
          <w:b/>
        </w:rPr>
        <w:t xml:space="preserve"> zasad konstruowania</w:t>
      </w:r>
      <w:r w:rsidR="00CB5A1A">
        <w:rPr>
          <w:b/>
        </w:rPr>
        <w:t xml:space="preserve"> budżetu szczegółowego projektu</w:t>
      </w:r>
      <w:r w:rsidR="00E446ED">
        <w:rPr>
          <w:b/>
        </w:rPr>
        <w:tab/>
      </w:r>
    </w:p>
    <w:p w14:paraId="738C9A13" w14:textId="47CC236B" w:rsidR="005A7498" w:rsidRPr="00ED0EFA" w:rsidRDefault="003F48CD" w:rsidP="00ED0EFA">
      <w:pPr>
        <w:jc w:val="both"/>
      </w:pPr>
      <w:r w:rsidRPr="00ED0EFA">
        <w:t xml:space="preserve">IZ RPO WK-P zaleca, aby wydatki </w:t>
      </w:r>
      <w:r w:rsidR="005A7498" w:rsidRPr="00ED0EFA">
        <w:t xml:space="preserve">w budżecie szczegółowym ujmować w tożsamych kategoriach zbiorczych, tzn. jako osobnych pozycji budżetowych nie ujmować wydatków, które można uwzględnić w budżecie w ramach wydatku o charakterze zbiorczym. </w:t>
      </w:r>
    </w:p>
    <w:p w14:paraId="7E50965E" w14:textId="7D779D4E" w:rsidR="00FA0B99" w:rsidRPr="00ED0EFA" w:rsidRDefault="00E02C7C" w:rsidP="00ED0EFA">
      <w:pPr>
        <w:jc w:val="both"/>
      </w:pPr>
      <w:r w:rsidRPr="00ED0EFA">
        <w:t>W uzasadnieniu kosztów specyficznych należy podać</w:t>
      </w:r>
      <w:r w:rsidR="00024D90" w:rsidRPr="00ED0EFA">
        <w:t>,</w:t>
      </w:r>
      <w:r w:rsidRPr="00ED0EFA">
        <w:t xml:space="preserve"> co wchodzi w skład zestawu. </w:t>
      </w:r>
    </w:p>
    <w:p w14:paraId="4962325D" w14:textId="77777777" w:rsidR="00FD6FB4" w:rsidRDefault="00FD6FB4" w:rsidP="00FA0B99">
      <w:pPr>
        <w:spacing w:after="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A0B99" w14:paraId="0F6FB010" w14:textId="77777777" w:rsidTr="00AA153D">
        <w:tc>
          <w:tcPr>
            <w:tcW w:w="9212" w:type="dxa"/>
            <w:shd w:val="clear" w:color="auto" w:fill="BFBFBF" w:themeFill="background1" w:themeFillShade="BF"/>
          </w:tcPr>
          <w:p w14:paraId="74A595C6" w14:textId="77777777" w:rsidR="00FA0B99" w:rsidRPr="0010079E" w:rsidRDefault="00FA0B99" w:rsidP="00AA153D">
            <w:pPr>
              <w:jc w:val="both"/>
              <w:rPr>
                <w:b/>
              </w:rPr>
            </w:pPr>
            <w:r w:rsidRPr="0010079E">
              <w:rPr>
                <w:b/>
              </w:rPr>
              <w:lastRenderedPageBreak/>
              <w:t>Nazwy kosztów</w:t>
            </w:r>
            <w:r>
              <w:rPr>
                <w:b/>
              </w:rPr>
              <w:t xml:space="preserve"> w budżecie projektu</w:t>
            </w:r>
          </w:p>
        </w:tc>
      </w:tr>
    </w:tbl>
    <w:p w14:paraId="4AC21547" w14:textId="77777777" w:rsidR="00FA0B99" w:rsidRDefault="00FA0B99" w:rsidP="00FA0B99">
      <w:pPr>
        <w:spacing w:after="0"/>
        <w:jc w:val="both"/>
      </w:pPr>
    </w:p>
    <w:p w14:paraId="12B718DE" w14:textId="016B9484" w:rsidR="00FA0B99" w:rsidRDefault="00FA0B99" w:rsidP="00287A32">
      <w:pPr>
        <w:spacing w:after="0"/>
        <w:jc w:val="both"/>
      </w:pPr>
      <w:r>
        <w:rPr>
          <w:rFonts w:ascii="Calibri" w:hAnsi="Calibri" w:cs="Calibri"/>
        </w:rPr>
        <w:t xml:space="preserve">Wnioskodawca nie powinien wskazywać w szczegółowym budżecie projektu informacji typu forma zaangażowania, liczba godzin zajęć, liczba grup zajęciowych, liczba osób na zajęciach, częstotliwość zajęć, cena jednostkowa itp. Informacje te należy wykazywać w uzasadnieniach dla poszczególnych wydatków pod szczegółowym budżetem projektu. Zgodnie z zaleceniami </w:t>
      </w:r>
      <w:r w:rsidR="00FD6FB4" w:rsidRPr="00FD6FB4">
        <w:rPr>
          <w:rFonts w:ascii="Calibri" w:hAnsi="Calibri" w:cs="Calibri"/>
        </w:rPr>
        <w:t>Instytucj</w:t>
      </w:r>
      <w:r w:rsidR="00FD6FB4">
        <w:rPr>
          <w:rFonts w:ascii="Calibri" w:hAnsi="Calibri" w:cs="Calibri"/>
        </w:rPr>
        <w:t>i</w:t>
      </w:r>
      <w:r w:rsidR="00FD6FB4" w:rsidRPr="00FD6FB4">
        <w:rPr>
          <w:rFonts w:ascii="Calibri" w:hAnsi="Calibri" w:cs="Calibri"/>
        </w:rPr>
        <w:t xml:space="preserve"> Koordynując</w:t>
      </w:r>
      <w:r w:rsidR="00FD6FB4">
        <w:rPr>
          <w:rFonts w:ascii="Calibri" w:hAnsi="Calibri" w:cs="Calibri"/>
        </w:rPr>
        <w:t>ej</w:t>
      </w:r>
      <w:r w:rsidR="00FD6FB4" w:rsidRPr="00FD6FB4">
        <w:rPr>
          <w:rFonts w:ascii="Calibri" w:hAnsi="Calibri" w:cs="Calibri"/>
        </w:rPr>
        <w:t xml:space="preserve"> Umowę Partnerstwa</w:t>
      </w:r>
      <w:r w:rsidR="00FD6FB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do centralnego systemu teleinformatycznego SL2014 nazwy pozycji powinny być odpowiednio ogólne tak, aby</w:t>
      </w:r>
      <w:r w:rsidRPr="009D0405">
        <w:rPr>
          <w:rFonts w:ascii="Calibri" w:hAnsi="Calibri" w:cs="Calibri"/>
        </w:rPr>
        <w:t xml:space="preserve"> drobne zmiany, które pojawiają się w trakcie realizacji projektu nie wiązały się ze zmianą nazw kosztów</w:t>
      </w:r>
      <w:r>
        <w:rPr>
          <w:rFonts w:ascii="Calibri" w:hAnsi="Calibri" w:cs="Calibri"/>
        </w:rPr>
        <w:t>.</w:t>
      </w:r>
    </w:p>
    <w:p w14:paraId="4F6B7F56" w14:textId="77777777" w:rsidR="00EC7AB4" w:rsidRPr="00126AA3" w:rsidRDefault="00EC7AB4" w:rsidP="00EC7AB4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C7AB4" w14:paraId="3E005E8B" w14:textId="77777777" w:rsidTr="00E9181E">
        <w:tc>
          <w:tcPr>
            <w:tcW w:w="9212" w:type="dxa"/>
            <w:shd w:val="clear" w:color="auto" w:fill="BFBFBF" w:themeFill="background1" w:themeFillShade="BF"/>
          </w:tcPr>
          <w:p w14:paraId="6A00DBE2" w14:textId="77777777" w:rsidR="00EC7AB4" w:rsidRPr="00146641" w:rsidRDefault="00EC7AB4" w:rsidP="00E9181E">
            <w:pPr>
              <w:pStyle w:val="Nagwek3"/>
              <w:outlineLvl w:val="2"/>
              <w:rPr>
                <w:noProof/>
                <w:sz w:val="22"/>
                <w:szCs w:val="22"/>
              </w:rPr>
            </w:pPr>
            <w:r w:rsidRPr="007E3F23">
              <w:rPr>
                <w:noProof/>
                <w:sz w:val="22"/>
                <w:szCs w:val="22"/>
              </w:rPr>
              <w:t xml:space="preserve">Zakaz podwójnego finansowania  </w:t>
            </w:r>
          </w:p>
        </w:tc>
      </w:tr>
    </w:tbl>
    <w:p w14:paraId="2F37D47C" w14:textId="77777777" w:rsidR="00EC7AB4" w:rsidRDefault="00EC7AB4" w:rsidP="00EC7AB4">
      <w:pPr>
        <w:pStyle w:val="Nagwek3"/>
        <w:rPr>
          <w:noProof/>
          <w:sz w:val="22"/>
          <w:szCs w:val="22"/>
        </w:rPr>
      </w:pPr>
    </w:p>
    <w:p w14:paraId="0BDF78A9" w14:textId="77777777" w:rsidR="00EC7AB4" w:rsidRDefault="00EC7AB4" w:rsidP="008B0437">
      <w:pPr>
        <w:jc w:val="both"/>
      </w:pPr>
      <w:r w:rsidRPr="007E3F23">
        <w:t>W ramach projektów współfinansowanych ze środków Unii Europejskiej niedozwolone jest podwójne finansowanie wydatków. Podwójne finansowanie</w:t>
      </w:r>
      <w:r>
        <w:t xml:space="preserve"> oznacza w szczególności:</w:t>
      </w:r>
    </w:p>
    <w:p w14:paraId="1724962E" w14:textId="77777777" w:rsidR="00EC7AB4" w:rsidRDefault="00EC7AB4" w:rsidP="001244B8">
      <w:pPr>
        <w:numPr>
          <w:ilvl w:val="0"/>
          <w:numId w:val="5"/>
        </w:numPr>
        <w:spacing w:before="200" w:after="0"/>
        <w:jc w:val="both"/>
      </w:pPr>
      <w:r>
        <w:t>całkowite lub częściowe, więcej niż jednokrotne poświadczenie, zrefundowanie lub rozliczenie tego samego wydatku w ramach dofinansowania lub wkładu własnego tego samego lub różnych projektów współfinansowanych ze środków funduszy strukturalnych lub Funduszu Spójności lub/oraz dotacji z krajowych środków publicznych,</w:t>
      </w:r>
    </w:p>
    <w:p w14:paraId="71A231AF" w14:textId="77777777" w:rsidR="00EC7AB4" w:rsidRDefault="00EC7AB4" w:rsidP="001244B8">
      <w:pPr>
        <w:numPr>
          <w:ilvl w:val="0"/>
          <w:numId w:val="5"/>
        </w:numPr>
        <w:spacing w:before="200" w:after="0"/>
        <w:ind w:left="714" w:hanging="357"/>
        <w:jc w:val="both"/>
      </w:pPr>
      <w:r>
        <w:t>otrzymanie na wydatki kwalifikowalne danego projektu lub części projektu bezzwrotnej pomocy finansowej z kilku źródeł (krajowych, unijnych lub innych) w wysokości łącznie wyższej niż 100% wydatków kwalifikowalnych projektu lub części projektu,</w:t>
      </w:r>
    </w:p>
    <w:p w14:paraId="7658F1A5" w14:textId="77777777" w:rsidR="00EC7AB4" w:rsidRDefault="00EC7AB4" w:rsidP="001244B8">
      <w:pPr>
        <w:numPr>
          <w:ilvl w:val="0"/>
          <w:numId w:val="5"/>
        </w:numPr>
        <w:spacing w:before="200" w:after="0"/>
        <w:ind w:left="714" w:hanging="357"/>
        <w:jc w:val="both"/>
      </w:pPr>
      <w:r>
        <w:t>poświadczenie, zrefundowanie lub rozliczenie kosztów podatku VAT ze środków funduszy strukturalnych lub Funduszu Spójności, a następnie odzyskanie tego podatku ze środków budżetu państwa na podstawie ustawy z dnia 11 marca 2004 r. o podatku od towarów i usług,</w:t>
      </w:r>
    </w:p>
    <w:p w14:paraId="4D3B3682" w14:textId="77777777" w:rsidR="00EC7AB4" w:rsidRDefault="00EC7AB4" w:rsidP="001244B8">
      <w:pPr>
        <w:numPr>
          <w:ilvl w:val="0"/>
          <w:numId w:val="5"/>
        </w:numPr>
        <w:spacing w:before="200" w:after="0"/>
        <w:ind w:left="714" w:hanging="357"/>
        <w:jc w:val="both"/>
      </w:pPr>
      <w:r>
        <w:t>zakupienie środka trwałego z udziałem środków unijnych lub/oraz dotacji z krajowych środków publicznych, a następnie rozliczenie kosztów amortyzacji tego środka trwałego w ramach tego samego projektu lub innych współfinansowanych ze środków Unii Europejskiej,</w:t>
      </w:r>
    </w:p>
    <w:p w14:paraId="73A704E5" w14:textId="77777777" w:rsidR="00EC7AB4" w:rsidRPr="003408E3" w:rsidRDefault="00EC7AB4" w:rsidP="00EC7AB4">
      <w:pPr>
        <w:ind w:left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EC7AB4" w:rsidRPr="003408E3" w14:paraId="19826434" w14:textId="77777777" w:rsidTr="00E9181E">
        <w:trPr>
          <w:trHeight w:val="1675"/>
        </w:trPr>
        <w:tc>
          <w:tcPr>
            <w:tcW w:w="9755" w:type="dxa"/>
            <w:shd w:val="clear" w:color="auto" w:fill="F2F2F2"/>
          </w:tcPr>
          <w:p w14:paraId="6973C611" w14:textId="77777777" w:rsidR="00EC7AB4" w:rsidRPr="003408E3" w:rsidRDefault="00EC7AB4" w:rsidP="00E9181E">
            <w:pPr>
              <w:jc w:val="both"/>
            </w:pPr>
            <w:r w:rsidRPr="003408E3">
              <w:rPr>
                <w:b/>
              </w:rPr>
              <w:t>UWAGA!</w:t>
            </w:r>
            <w:r>
              <w:br/>
              <w:t>Oznacza to także, że niedozwolona jest sytuacja, w której najpierw środek trwały został nabyty</w:t>
            </w:r>
            <w:r w:rsidRPr="00B77C84">
              <w:t xml:space="preserve"> z udziałem środków </w:t>
            </w:r>
            <w:r>
              <w:t>unijnych, a następnie odpisy amortyzacyjne</w:t>
            </w:r>
            <w:r w:rsidRPr="00B77C84">
              <w:t xml:space="preserve"> od pełnej wartości </w:t>
            </w:r>
            <w:r>
              <w:t xml:space="preserve">danego </w:t>
            </w:r>
            <w:r w:rsidRPr="00B77C84">
              <w:t xml:space="preserve">środka trwałego </w:t>
            </w:r>
            <w:r>
              <w:t xml:space="preserve">zostały zaliczone </w:t>
            </w:r>
            <w:r w:rsidRPr="00B77C84">
              <w:t>do kosztów uzyskania przychodów, bez pomniejsz</w:t>
            </w:r>
            <w:r>
              <w:t>enia wartości środka trwałego o </w:t>
            </w:r>
            <w:r w:rsidRPr="00B77C84">
              <w:t>otrzymane dofinansowanie.</w:t>
            </w:r>
          </w:p>
        </w:tc>
      </w:tr>
    </w:tbl>
    <w:p w14:paraId="3A4AD331" w14:textId="77777777" w:rsidR="00EC7AB4" w:rsidRDefault="00EC7AB4" w:rsidP="001244B8">
      <w:pPr>
        <w:numPr>
          <w:ilvl w:val="0"/>
          <w:numId w:val="5"/>
        </w:numPr>
        <w:spacing w:before="200" w:after="0"/>
        <w:ind w:left="714" w:hanging="357"/>
        <w:jc w:val="both"/>
      </w:pPr>
      <w:r>
        <w:t>zrefundowanie wydatku poniesionego przez leasingodawcę na zakup przedmiotu leasingu w ramach leasingu finansowego, a następnie zrefundowanie rat opłacanych przez beneficjenta w związku z leasingiem tego przedmiotu,</w:t>
      </w:r>
    </w:p>
    <w:p w14:paraId="6394D065" w14:textId="77777777" w:rsidR="00EC7AB4" w:rsidRDefault="00EC7AB4" w:rsidP="001244B8">
      <w:pPr>
        <w:numPr>
          <w:ilvl w:val="0"/>
          <w:numId w:val="5"/>
        </w:numPr>
        <w:spacing w:before="200" w:after="0"/>
        <w:ind w:left="714" w:hanging="357"/>
        <w:jc w:val="both"/>
      </w:pPr>
      <w:r>
        <w:t>sytuacja, w której środki na prefinansowanie wkładu unijnego zostały pozyskane w formie kredytu lub pożyczki, które następnie zostały umorzone,</w:t>
      </w:r>
    </w:p>
    <w:p w14:paraId="5F0BAB79" w14:textId="77777777" w:rsidR="00EC7AB4" w:rsidRDefault="00EC7AB4" w:rsidP="001244B8">
      <w:pPr>
        <w:numPr>
          <w:ilvl w:val="0"/>
          <w:numId w:val="5"/>
        </w:numPr>
        <w:spacing w:before="200" w:after="0"/>
        <w:ind w:left="714" w:hanging="357"/>
        <w:jc w:val="both"/>
      </w:pPr>
      <w:r>
        <w:lastRenderedPageBreak/>
        <w:t>objęcie kosztów kwalifikowalnych projektu jednocześnie wsparciem pożyczkowym i gwarancyjnym,</w:t>
      </w:r>
    </w:p>
    <w:p w14:paraId="5DBE39AA" w14:textId="77777777" w:rsidR="00EC7AB4" w:rsidRDefault="00EC7AB4" w:rsidP="001244B8">
      <w:pPr>
        <w:numPr>
          <w:ilvl w:val="0"/>
          <w:numId w:val="5"/>
        </w:numPr>
        <w:spacing w:before="200" w:after="0"/>
        <w:ind w:left="714" w:hanging="357"/>
        <w:jc w:val="both"/>
      </w:pPr>
      <w:r>
        <w:t>zakup używanego środka trwałego, który w ciągu 7 poprzednich lat (10 lat dla nieruchomości) był współfinansowany ze środków Unii Europejskiej lub/oraz dotacji z krajowych środków publicznych,</w:t>
      </w:r>
    </w:p>
    <w:p w14:paraId="65B7207F" w14:textId="77777777" w:rsidR="00EC7AB4" w:rsidRPr="00774800" w:rsidRDefault="00EC7AB4" w:rsidP="001244B8">
      <w:pPr>
        <w:numPr>
          <w:ilvl w:val="0"/>
          <w:numId w:val="5"/>
        </w:numPr>
        <w:spacing w:before="200" w:after="0"/>
        <w:ind w:left="714" w:hanging="357"/>
        <w:jc w:val="both"/>
      </w:pPr>
      <w:r>
        <w:t>rozliczenie tego samego wydatku w kosztach pośrednich oraz kosztach bezpośrednich projektu.</w:t>
      </w:r>
    </w:p>
    <w:p w14:paraId="3D669E00" w14:textId="77777777" w:rsidR="003F48CD" w:rsidRDefault="003F48CD" w:rsidP="00EC7AB4">
      <w:pPr>
        <w:jc w:val="both"/>
      </w:pPr>
    </w:p>
    <w:sectPr w:rsidR="003F48CD" w:rsidSect="000A5A2F">
      <w:type w:val="continuous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B76A9D" w14:textId="77777777" w:rsidR="00A25FBA" w:rsidRPr="00A449D2" w:rsidRDefault="00A25FBA" w:rsidP="00A449D2">
      <w:pPr>
        <w:spacing w:after="0" w:line="240" w:lineRule="auto"/>
      </w:pPr>
      <w:r>
        <w:separator/>
      </w:r>
    </w:p>
  </w:endnote>
  <w:endnote w:type="continuationSeparator" w:id="0">
    <w:p w14:paraId="513BD463" w14:textId="77777777" w:rsidR="00A25FBA" w:rsidRPr="00A449D2" w:rsidRDefault="00A25FBA" w:rsidP="00A44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ivaldi"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0103828"/>
      <w:docPartObj>
        <w:docPartGallery w:val="Page Numbers (Bottom of Page)"/>
        <w:docPartUnique/>
      </w:docPartObj>
    </w:sdtPr>
    <w:sdtEndPr/>
    <w:sdtContent>
      <w:p w14:paraId="5272C4F5" w14:textId="77777777" w:rsidR="00677CA5" w:rsidRDefault="008A31C7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36F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7FABAA8" w14:textId="77777777" w:rsidR="00677CA5" w:rsidRDefault="00677C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29F8A3" w14:textId="77777777" w:rsidR="00A25FBA" w:rsidRPr="00A449D2" w:rsidRDefault="00A25FBA" w:rsidP="00A449D2">
      <w:pPr>
        <w:spacing w:after="0" w:line="240" w:lineRule="auto"/>
      </w:pPr>
      <w:r>
        <w:separator/>
      </w:r>
    </w:p>
  </w:footnote>
  <w:footnote w:type="continuationSeparator" w:id="0">
    <w:p w14:paraId="78B9EA14" w14:textId="77777777" w:rsidR="00A25FBA" w:rsidRPr="00A449D2" w:rsidRDefault="00A25FBA" w:rsidP="00A449D2">
      <w:pPr>
        <w:spacing w:after="0" w:line="240" w:lineRule="auto"/>
      </w:pPr>
      <w:r>
        <w:continuationSeparator/>
      </w:r>
    </w:p>
  </w:footnote>
  <w:footnote w:id="1">
    <w:p w14:paraId="084835A7" w14:textId="77777777" w:rsidR="00E970A8" w:rsidRPr="00E970A8" w:rsidRDefault="00E970A8" w:rsidP="00E970A8">
      <w:pPr>
        <w:pStyle w:val="Tekstprzypisudolnego"/>
        <w:spacing w:after="0" w:line="240" w:lineRule="auto"/>
        <w:jc w:val="both"/>
        <w:rPr>
          <w:sz w:val="18"/>
          <w:szCs w:val="18"/>
        </w:rPr>
      </w:pPr>
      <w:r w:rsidRPr="00E970A8">
        <w:rPr>
          <w:rStyle w:val="Odwoanieprzypisudolnego"/>
          <w:sz w:val="18"/>
          <w:szCs w:val="18"/>
        </w:rPr>
        <w:footnoteRef/>
      </w:r>
      <w:r w:rsidRPr="00E970A8">
        <w:rPr>
          <w:sz w:val="18"/>
          <w:szCs w:val="18"/>
        </w:rPr>
        <w:t xml:space="preserve"> Zgodnie z art. 83 ust. 2 ustawy z dnia 27 sierpnia 2004 r. o świadczeniach opieki zdrowotnej finansowanych ze środków publicznych w przypadku nieobliczania zaliczki na podatek dochodowy od osób fizycznych przez płatnika, od przychodów stanowiących podstawę wymiaru składki, zgodnie z przepisami Ustawy z dnia 26 lipca 1991 r. o podatku dochodowym od osób fizycznych, składkę na ubezpieczenie zdrowotne obliczoną za poszczególne miesiące obniża się do wysokości 0 zł.</w:t>
      </w:r>
    </w:p>
    <w:p w14:paraId="4F407536" w14:textId="2AF80799" w:rsidR="00E970A8" w:rsidRPr="00E970A8" w:rsidRDefault="00E970A8" w:rsidP="00E970A8">
      <w:pPr>
        <w:pStyle w:val="Tekstprzypisudolnego"/>
        <w:spacing w:after="0" w:line="240" w:lineRule="auto"/>
        <w:jc w:val="both"/>
        <w:rPr>
          <w:sz w:val="18"/>
          <w:szCs w:val="18"/>
        </w:rPr>
      </w:pPr>
    </w:p>
  </w:footnote>
  <w:footnote w:id="2">
    <w:p w14:paraId="00D6997C" w14:textId="36967235" w:rsidR="00E970A8" w:rsidRDefault="00E970A8" w:rsidP="00E970A8">
      <w:pPr>
        <w:pStyle w:val="Tekstprzypisudolnego"/>
        <w:spacing w:after="0" w:line="240" w:lineRule="auto"/>
        <w:jc w:val="both"/>
      </w:pPr>
      <w:r w:rsidRPr="00E970A8">
        <w:rPr>
          <w:rStyle w:val="Odwoanieprzypisudolnego"/>
          <w:sz w:val="18"/>
          <w:szCs w:val="18"/>
        </w:rPr>
        <w:footnoteRef/>
      </w:r>
      <w:r w:rsidRPr="00E970A8">
        <w:rPr>
          <w:sz w:val="18"/>
          <w:szCs w:val="18"/>
        </w:rPr>
        <w:t xml:space="preserve"> Art. 6 ust. 1 pkt 9a w związku z art. 9 ust. 6a oraz art. 12 ustawy z dnia 13 października 1998 r. o systemie ubezpieczeń społecznych; art. 66 ust. 1 pkt 24a, art. 75 ust. 9a, art. 81 ust. 8 pkt 5a oraz art. 85 ust. 6a ustawy z dnia 27 sierpnia 2004 r. o świadczeniach opieki zdrowotnej finansowanych ze środków publicznych.</w:t>
      </w:r>
    </w:p>
  </w:footnote>
  <w:footnote w:id="3">
    <w:p w14:paraId="4A700248" w14:textId="08266696" w:rsidR="00531939" w:rsidRPr="00271ADA" w:rsidRDefault="00531939" w:rsidP="00271ADA">
      <w:pPr>
        <w:pStyle w:val="Tekstprzypisudolnego"/>
        <w:spacing w:after="0" w:line="240" w:lineRule="auto"/>
        <w:jc w:val="both"/>
        <w:rPr>
          <w:rFonts w:cs="Arial"/>
          <w:sz w:val="18"/>
          <w:szCs w:val="18"/>
        </w:rPr>
      </w:pPr>
      <w:r w:rsidRPr="00271ADA">
        <w:rPr>
          <w:rStyle w:val="Odwoanieprzypisudolnego"/>
          <w:rFonts w:cs="Arial"/>
          <w:sz w:val="18"/>
          <w:szCs w:val="18"/>
        </w:rPr>
        <w:footnoteRef/>
      </w:r>
      <w:r w:rsidRPr="00271ADA">
        <w:rPr>
          <w:rFonts w:cs="Arial"/>
          <w:sz w:val="18"/>
          <w:szCs w:val="18"/>
        </w:rPr>
        <w:t xml:space="preserve"> </w:t>
      </w:r>
      <w:r w:rsidR="00271ADA" w:rsidRPr="00271ADA">
        <w:rPr>
          <w:rFonts w:cs="Arial"/>
          <w:color w:val="000000"/>
          <w:sz w:val="18"/>
          <w:szCs w:val="18"/>
        </w:rPr>
        <w:t>D</w:t>
      </w:r>
      <w:r w:rsidR="00271ADA" w:rsidRPr="00271ADA">
        <w:rPr>
          <w:rFonts w:cs="Arial"/>
          <w:sz w:val="18"/>
          <w:szCs w:val="18"/>
        </w:rPr>
        <w:t>ziałalność gospodarcza rozpoczęta w ramach projektu jest prowadzona co najmniej przez 12 miesięcy od dnia rozpoczęcia dzia</w:t>
      </w:r>
      <w:r w:rsidR="00271ADA">
        <w:rPr>
          <w:rFonts w:cs="Arial"/>
          <w:sz w:val="18"/>
          <w:szCs w:val="18"/>
        </w:rPr>
        <w:t xml:space="preserve">łalności gospodarczej (zgodnie </w:t>
      </w:r>
      <w:r w:rsidR="00271ADA" w:rsidRPr="00271ADA">
        <w:rPr>
          <w:rFonts w:cs="Arial"/>
          <w:sz w:val="18"/>
          <w:szCs w:val="18"/>
        </w:rPr>
        <w:t xml:space="preserve">z aktualnym wpisem do CEIDG lub KRS), przy czym do okresu prowadzenia działalności gospodarczej zalicza się przerwy w </w:t>
      </w:r>
      <w:r w:rsidR="00271ADA">
        <w:rPr>
          <w:rFonts w:cs="Arial"/>
          <w:sz w:val="18"/>
          <w:szCs w:val="18"/>
        </w:rPr>
        <w:t xml:space="preserve">jej prowadzeniu </w:t>
      </w:r>
      <w:r w:rsidR="00271ADA" w:rsidRPr="00271ADA">
        <w:rPr>
          <w:rFonts w:cs="Arial"/>
          <w:sz w:val="18"/>
          <w:szCs w:val="18"/>
        </w:rPr>
        <w:t>z powodu choroby lub korzystania ze świadczenia rehabilitacyjnego.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15DB4" w14:textId="1225CE96" w:rsidR="0095403B" w:rsidRDefault="00E446ED">
    <w:pPr>
      <w:pStyle w:val="Nagwek"/>
    </w:pPr>
    <w:r w:rsidRPr="003F48CD">
      <w:rPr>
        <w:noProof/>
        <w:lang w:eastAsia="pl-PL"/>
      </w:rPr>
      <w:drawing>
        <wp:inline distT="0" distB="0" distL="0" distR="0" wp14:anchorId="4F72FD60" wp14:editId="46A80FD0">
          <wp:extent cx="5760720" cy="817245"/>
          <wp:effectExtent l="0" t="0" r="0" b="0"/>
          <wp:docPr id="10" name="Obraz 10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.luczak\AppData\Local\Microsoft\Windows\Temporary Internet Files\Content.Outlook\7IP7UV0Z\poziom_achromat (00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7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A6BC5"/>
    <w:multiLevelType w:val="hybridMultilevel"/>
    <w:tmpl w:val="F810315E"/>
    <w:lvl w:ilvl="0" w:tplc="853E04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0B23778"/>
    <w:multiLevelType w:val="hybridMultilevel"/>
    <w:tmpl w:val="7262AD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11EDE"/>
    <w:multiLevelType w:val="hybridMultilevel"/>
    <w:tmpl w:val="AEA43842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542161"/>
    <w:multiLevelType w:val="multilevel"/>
    <w:tmpl w:val="BD10AA5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38E44E7"/>
    <w:multiLevelType w:val="hybridMultilevel"/>
    <w:tmpl w:val="FA9A6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77CA3"/>
    <w:multiLevelType w:val="hybridMultilevel"/>
    <w:tmpl w:val="78C45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F2913"/>
    <w:multiLevelType w:val="hybridMultilevel"/>
    <w:tmpl w:val="F5D47CF6"/>
    <w:lvl w:ilvl="0" w:tplc="63124762">
      <w:start w:val="1"/>
      <w:numFmt w:val="lowerLetter"/>
      <w:lvlText w:val="%1)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58CA16EE"/>
    <w:multiLevelType w:val="multilevel"/>
    <w:tmpl w:val="D00E64E2"/>
    <w:lvl w:ilvl="0">
      <w:start w:val="8"/>
      <w:numFmt w:val="decimal"/>
      <w:lvlText w:val="%1)"/>
      <w:lvlJc w:val="left"/>
      <w:pPr>
        <w:ind w:left="502" w:hanging="360"/>
      </w:pPr>
      <w:rPr>
        <w:rFonts w:hint="default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Roman"/>
      <w:lvlText w:val="%3)"/>
      <w:lvlJc w:val="left"/>
      <w:pPr>
        <w:ind w:left="1222" w:hanging="36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(%4)"/>
      <w:lvlJc w:val="left"/>
      <w:pPr>
        <w:ind w:left="158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8" w15:restartNumberingAfterBreak="0">
    <w:nsid w:val="634215C1"/>
    <w:multiLevelType w:val="hybridMultilevel"/>
    <w:tmpl w:val="94561AA4"/>
    <w:lvl w:ilvl="0" w:tplc="7C6E0ADE">
      <w:start w:val="1"/>
      <w:numFmt w:val="bullet"/>
      <w:lvlText w:val="-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6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EE7"/>
    <w:rsid w:val="000015C1"/>
    <w:rsid w:val="00024D90"/>
    <w:rsid w:val="00026E9B"/>
    <w:rsid w:val="000327BF"/>
    <w:rsid w:val="00032891"/>
    <w:rsid w:val="000426A4"/>
    <w:rsid w:val="00061B95"/>
    <w:rsid w:val="000648C7"/>
    <w:rsid w:val="000743F2"/>
    <w:rsid w:val="000A5A2F"/>
    <w:rsid w:val="000B430D"/>
    <w:rsid w:val="000E003F"/>
    <w:rsid w:val="000E6DB2"/>
    <w:rsid w:val="00107343"/>
    <w:rsid w:val="001244B8"/>
    <w:rsid w:val="00137532"/>
    <w:rsid w:val="001378B1"/>
    <w:rsid w:val="00157640"/>
    <w:rsid w:val="00184683"/>
    <w:rsid w:val="00186AE5"/>
    <w:rsid w:val="001A2905"/>
    <w:rsid w:val="001C2D14"/>
    <w:rsid w:val="001C5A54"/>
    <w:rsid w:val="001C6DBE"/>
    <w:rsid w:val="001F08D9"/>
    <w:rsid w:val="001F1057"/>
    <w:rsid w:val="001F3A84"/>
    <w:rsid w:val="001F698F"/>
    <w:rsid w:val="00231098"/>
    <w:rsid w:val="00261415"/>
    <w:rsid w:val="00271ADA"/>
    <w:rsid w:val="00287A32"/>
    <w:rsid w:val="00293DCB"/>
    <w:rsid w:val="002C2187"/>
    <w:rsid w:val="002C7387"/>
    <w:rsid w:val="002E3F6A"/>
    <w:rsid w:val="002E488E"/>
    <w:rsid w:val="00302BDD"/>
    <w:rsid w:val="00302F3B"/>
    <w:rsid w:val="00316BCF"/>
    <w:rsid w:val="00317BB1"/>
    <w:rsid w:val="00320698"/>
    <w:rsid w:val="00326E37"/>
    <w:rsid w:val="003324D8"/>
    <w:rsid w:val="00336F47"/>
    <w:rsid w:val="00397AF4"/>
    <w:rsid w:val="003C2070"/>
    <w:rsid w:val="003D0B96"/>
    <w:rsid w:val="003E370F"/>
    <w:rsid w:val="003F3221"/>
    <w:rsid w:val="003F48CD"/>
    <w:rsid w:val="00400EE6"/>
    <w:rsid w:val="004053CD"/>
    <w:rsid w:val="00431227"/>
    <w:rsid w:val="00447028"/>
    <w:rsid w:val="004718E5"/>
    <w:rsid w:val="004829D4"/>
    <w:rsid w:val="004945DC"/>
    <w:rsid w:val="004A27BD"/>
    <w:rsid w:val="004C7E68"/>
    <w:rsid w:val="004D39B1"/>
    <w:rsid w:val="004E7BA6"/>
    <w:rsid w:val="005028D3"/>
    <w:rsid w:val="0050754D"/>
    <w:rsid w:val="00531939"/>
    <w:rsid w:val="00534FC7"/>
    <w:rsid w:val="00545927"/>
    <w:rsid w:val="00552C8F"/>
    <w:rsid w:val="00571207"/>
    <w:rsid w:val="00576089"/>
    <w:rsid w:val="005A7498"/>
    <w:rsid w:val="005B5B5F"/>
    <w:rsid w:val="005C007F"/>
    <w:rsid w:val="005C0F2D"/>
    <w:rsid w:val="005D7716"/>
    <w:rsid w:val="005E010C"/>
    <w:rsid w:val="005F56C5"/>
    <w:rsid w:val="005F77CE"/>
    <w:rsid w:val="006110D0"/>
    <w:rsid w:val="0064006B"/>
    <w:rsid w:val="00677CA5"/>
    <w:rsid w:val="006855DB"/>
    <w:rsid w:val="006908B9"/>
    <w:rsid w:val="006A174B"/>
    <w:rsid w:val="006A48DF"/>
    <w:rsid w:val="006D39B5"/>
    <w:rsid w:val="006E789B"/>
    <w:rsid w:val="007145EE"/>
    <w:rsid w:val="00757796"/>
    <w:rsid w:val="00763295"/>
    <w:rsid w:val="00784868"/>
    <w:rsid w:val="007902B2"/>
    <w:rsid w:val="007C0678"/>
    <w:rsid w:val="007C0B72"/>
    <w:rsid w:val="007C5A4C"/>
    <w:rsid w:val="007E24DC"/>
    <w:rsid w:val="00826EB2"/>
    <w:rsid w:val="00832770"/>
    <w:rsid w:val="00836AF9"/>
    <w:rsid w:val="00853A33"/>
    <w:rsid w:val="00863520"/>
    <w:rsid w:val="008810F6"/>
    <w:rsid w:val="00882A59"/>
    <w:rsid w:val="008A31C7"/>
    <w:rsid w:val="008A33B6"/>
    <w:rsid w:val="008B0437"/>
    <w:rsid w:val="008B7F80"/>
    <w:rsid w:val="008D5001"/>
    <w:rsid w:val="008E391C"/>
    <w:rsid w:val="008E399A"/>
    <w:rsid w:val="008E417C"/>
    <w:rsid w:val="008E519C"/>
    <w:rsid w:val="00911E7D"/>
    <w:rsid w:val="00926F59"/>
    <w:rsid w:val="0095403B"/>
    <w:rsid w:val="00960FD6"/>
    <w:rsid w:val="009803CE"/>
    <w:rsid w:val="00982C18"/>
    <w:rsid w:val="00984130"/>
    <w:rsid w:val="009A4CC6"/>
    <w:rsid w:val="009B0B22"/>
    <w:rsid w:val="009D2C46"/>
    <w:rsid w:val="009D75CF"/>
    <w:rsid w:val="009E37A8"/>
    <w:rsid w:val="009E4220"/>
    <w:rsid w:val="009F4DE0"/>
    <w:rsid w:val="00A25FBA"/>
    <w:rsid w:val="00A27CA6"/>
    <w:rsid w:val="00A3109C"/>
    <w:rsid w:val="00A449D2"/>
    <w:rsid w:val="00A545F1"/>
    <w:rsid w:val="00A54732"/>
    <w:rsid w:val="00A54922"/>
    <w:rsid w:val="00A6119D"/>
    <w:rsid w:val="00A84024"/>
    <w:rsid w:val="00AA1BB1"/>
    <w:rsid w:val="00AA63D8"/>
    <w:rsid w:val="00AE497F"/>
    <w:rsid w:val="00B35EE7"/>
    <w:rsid w:val="00B50B9A"/>
    <w:rsid w:val="00B62164"/>
    <w:rsid w:val="00B6299A"/>
    <w:rsid w:val="00B724C5"/>
    <w:rsid w:val="00B77210"/>
    <w:rsid w:val="00B81713"/>
    <w:rsid w:val="00B90113"/>
    <w:rsid w:val="00B912C3"/>
    <w:rsid w:val="00BD310A"/>
    <w:rsid w:val="00BD4AEF"/>
    <w:rsid w:val="00BD7E97"/>
    <w:rsid w:val="00BF1DF3"/>
    <w:rsid w:val="00C072A6"/>
    <w:rsid w:val="00C114A0"/>
    <w:rsid w:val="00C15EF6"/>
    <w:rsid w:val="00C16F45"/>
    <w:rsid w:val="00C23533"/>
    <w:rsid w:val="00C32DCC"/>
    <w:rsid w:val="00C45A3C"/>
    <w:rsid w:val="00C45EBC"/>
    <w:rsid w:val="00C55ACE"/>
    <w:rsid w:val="00C55D19"/>
    <w:rsid w:val="00C64746"/>
    <w:rsid w:val="00C6514B"/>
    <w:rsid w:val="00C74F45"/>
    <w:rsid w:val="00C75C5D"/>
    <w:rsid w:val="00C7792B"/>
    <w:rsid w:val="00C86F4E"/>
    <w:rsid w:val="00C94DFF"/>
    <w:rsid w:val="00CB1442"/>
    <w:rsid w:val="00CB5A1A"/>
    <w:rsid w:val="00CC3D0C"/>
    <w:rsid w:val="00CD29AC"/>
    <w:rsid w:val="00CF3321"/>
    <w:rsid w:val="00D07091"/>
    <w:rsid w:val="00D35AEC"/>
    <w:rsid w:val="00D551B3"/>
    <w:rsid w:val="00DA490E"/>
    <w:rsid w:val="00DD567E"/>
    <w:rsid w:val="00DE0541"/>
    <w:rsid w:val="00E02C7C"/>
    <w:rsid w:val="00E05090"/>
    <w:rsid w:val="00E160F7"/>
    <w:rsid w:val="00E35760"/>
    <w:rsid w:val="00E446ED"/>
    <w:rsid w:val="00E45A05"/>
    <w:rsid w:val="00E50FEE"/>
    <w:rsid w:val="00E637E0"/>
    <w:rsid w:val="00E701DA"/>
    <w:rsid w:val="00E774D0"/>
    <w:rsid w:val="00E970A8"/>
    <w:rsid w:val="00EA2AA2"/>
    <w:rsid w:val="00EA4DB4"/>
    <w:rsid w:val="00EC242E"/>
    <w:rsid w:val="00EC49C8"/>
    <w:rsid w:val="00EC7AB4"/>
    <w:rsid w:val="00ED0EFA"/>
    <w:rsid w:val="00ED6F64"/>
    <w:rsid w:val="00EE3BC9"/>
    <w:rsid w:val="00EF49D0"/>
    <w:rsid w:val="00EF6705"/>
    <w:rsid w:val="00F056C9"/>
    <w:rsid w:val="00F20CB5"/>
    <w:rsid w:val="00F33E7A"/>
    <w:rsid w:val="00F36959"/>
    <w:rsid w:val="00F44764"/>
    <w:rsid w:val="00F51CCE"/>
    <w:rsid w:val="00F52682"/>
    <w:rsid w:val="00F64B4A"/>
    <w:rsid w:val="00F64CF5"/>
    <w:rsid w:val="00F66BCD"/>
    <w:rsid w:val="00FA02C1"/>
    <w:rsid w:val="00FA0B99"/>
    <w:rsid w:val="00FC44EF"/>
    <w:rsid w:val="00FD6FB4"/>
    <w:rsid w:val="00FD71DA"/>
    <w:rsid w:val="00FE0C3B"/>
    <w:rsid w:val="00FE0C61"/>
    <w:rsid w:val="00FE60DC"/>
    <w:rsid w:val="00FF5359"/>
    <w:rsid w:val="00FF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F4117D"/>
  <w15:docId w15:val="{EFA0F70A-1B6D-42E3-85C4-A2B3FA0F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3DCB"/>
  </w:style>
  <w:style w:type="paragraph" w:styleId="Nagwek3">
    <w:name w:val="heading 3"/>
    <w:basedOn w:val="Normalny"/>
    <w:next w:val="Normalny"/>
    <w:link w:val="Nagwek3Znak"/>
    <w:uiPriority w:val="99"/>
    <w:qFormat/>
    <w:rsid w:val="00EC7AB4"/>
    <w:pPr>
      <w:keepNext/>
      <w:autoSpaceDE w:val="0"/>
      <w:autoSpaceDN w:val="0"/>
      <w:spacing w:after="0"/>
      <w:jc w:val="both"/>
      <w:outlineLvl w:val="2"/>
    </w:pPr>
    <w:rPr>
      <w:rFonts w:ascii="Calibri" w:eastAsia="Times New Roman" w:hAnsi="Calibri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qFormat/>
    <w:rsid w:val="00B35EE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44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9D2"/>
  </w:style>
  <w:style w:type="paragraph" w:styleId="Stopka">
    <w:name w:val="footer"/>
    <w:basedOn w:val="Normalny"/>
    <w:link w:val="StopkaZnak"/>
    <w:uiPriority w:val="99"/>
    <w:unhideWhenUsed/>
    <w:rsid w:val="00A44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9D2"/>
  </w:style>
  <w:style w:type="paragraph" w:styleId="Tekstdymka">
    <w:name w:val="Balloon Text"/>
    <w:basedOn w:val="Normalny"/>
    <w:link w:val="TekstdymkaZnak"/>
    <w:semiHidden/>
    <w:unhideWhenUsed/>
    <w:rsid w:val="00A44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9D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5C00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00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00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00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007F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B50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B144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9"/>
    <w:rsid w:val="00EC7AB4"/>
    <w:rPr>
      <w:rFonts w:ascii="Calibri" w:eastAsia="Times New Roman" w:hAnsi="Calibri" w:cs="Times New Roman"/>
      <w:b/>
      <w:bCs/>
      <w:sz w:val="24"/>
      <w:szCs w:val="24"/>
    </w:rPr>
  </w:style>
  <w:style w:type="character" w:styleId="Odwoanieprzypisudolnego">
    <w:name w:val="footnote reference"/>
    <w:unhideWhenUsed/>
    <w:rsid w:val="00EC7AB4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nhideWhenUsed/>
    <w:qFormat/>
    <w:rsid w:val="00EC7AB4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EC7AB4"/>
    <w:rPr>
      <w:rFonts w:ascii="Calibri" w:eastAsia="Calibri" w:hAnsi="Calibri" w:cs="Times New Roman"/>
      <w:sz w:val="20"/>
      <w:szCs w:val="20"/>
    </w:rPr>
  </w:style>
  <w:style w:type="character" w:customStyle="1" w:styleId="DefaultZnak">
    <w:name w:val="Default Znak"/>
    <w:link w:val="Default"/>
    <w:rsid w:val="00960FD6"/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2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8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8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0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47AF9-416B-4483-9885-1D78B5FFA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7</Pages>
  <Words>1967</Words>
  <Characters>11806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Mucha</dc:creator>
  <cp:keywords/>
  <dc:description/>
  <cp:lastModifiedBy>Estera Mentkowska</cp:lastModifiedBy>
  <cp:revision>54</cp:revision>
  <dcterms:created xsi:type="dcterms:W3CDTF">2018-08-08T08:58:00Z</dcterms:created>
  <dcterms:modified xsi:type="dcterms:W3CDTF">2019-08-26T13:21:00Z</dcterms:modified>
</cp:coreProperties>
</file>