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8FD" w:rsidRDefault="00BA6868" w:rsidP="009652E4">
      <w:pPr>
        <w:pStyle w:val="Nagwek6"/>
        <w:spacing w:before="0" w:after="0"/>
        <w:ind w:left="5245" w:hanging="5245"/>
        <w:rPr>
          <w:b w:val="0"/>
          <w:sz w:val="18"/>
          <w:szCs w:val="18"/>
        </w:rPr>
      </w:pPr>
      <w:r>
        <w:rPr>
          <w:b w:val="0"/>
          <w:sz w:val="18"/>
        </w:rPr>
        <w:t xml:space="preserve">Druk nr </w:t>
      </w:r>
      <w:r w:rsidR="009652E4">
        <w:rPr>
          <w:b w:val="0"/>
          <w:sz w:val="18"/>
        </w:rPr>
        <w:t>30/20</w:t>
      </w:r>
      <w:r w:rsidR="008663A3">
        <w:rPr>
          <w:b w:val="0"/>
          <w:sz w:val="18"/>
        </w:rPr>
        <w:t xml:space="preserve">                                                              </w:t>
      </w:r>
      <w:r w:rsidR="009652E4">
        <w:rPr>
          <w:b w:val="0"/>
          <w:sz w:val="18"/>
        </w:rPr>
        <w:t xml:space="preserve">          </w:t>
      </w:r>
      <w:r w:rsidR="009652E4">
        <w:rPr>
          <w:b w:val="0"/>
          <w:sz w:val="18"/>
        </w:rPr>
        <w:tab/>
      </w:r>
      <w:r>
        <w:rPr>
          <w:b w:val="0"/>
          <w:sz w:val="18"/>
          <w:szCs w:val="18"/>
        </w:rPr>
        <w:t>Projek</w:t>
      </w:r>
      <w:r w:rsidR="00BF37A2">
        <w:rPr>
          <w:b w:val="0"/>
          <w:sz w:val="18"/>
          <w:szCs w:val="18"/>
        </w:rPr>
        <w:t>t Zarządu Województwa</w:t>
      </w:r>
    </w:p>
    <w:p w:rsidR="00BA6868" w:rsidRDefault="00BF37A2" w:rsidP="009652E4">
      <w:pPr>
        <w:pStyle w:val="Nagwek6"/>
        <w:spacing w:before="0" w:after="0"/>
        <w:ind w:left="4956" w:firstLine="289"/>
        <w:rPr>
          <w:b w:val="0"/>
          <w:sz w:val="18"/>
        </w:rPr>
      </w:pPr>
      <w:bookmarkStart w:id="0" w:name="_GoBack"/>
      <w:bookmarkEnd w:id="0"/>
      <w:r w:rsidRPr="00AC08FD">
        <w:rPr>
          <w:b w:val="0"/>
          <w:sz w:val="18"/>
          <w:szCs w:val="18"/>
        </w:rPr>
        <w:t>Kujaws</w:t>
      </w:r>
      <w:r w:rsidR="00AC08FD" w:rsidRPr="00AC08FD">
        <w:rPr>
          <w:b w:val="0"/>
          <w:sz w:val="18"/>
          <w:szCs w:val="18"/>
        </w:rPr>
        <w:t xml:space="preserve">ko-Pomorskiego </w:t>
      </w:r>
      <w:r w:rsidR="00BA6868" w:rsidRPr="00AC08FD">
        <w:rPr>
          <w:b w:val="0"/>
          <w:sz w:val="18"/>
        </w:rPr>
        <w:t xml:space="preserve">z dnia </w:t>
      </w:r>
      <w:r w:rsidR="004D53FF">
        <w:rPr>
          <w:b w:val="0"/>
          <w:sz w:val="18"/>
        </w:rPr>
        <w:t xml:space="preserve"> 29 kwietnia </w:t>
      </w:r>
      <w:r w:rsidR="004934D9" w:rsidRPr="00AC08FD">
        <w:rPr>
          <w:b w:val="0"/>
          <w:sz w:val="18"/>
        </w:rPr>
        <w:t>20</w:t>
      </w:r>
      <w:r w:rsidR="001A7C37">
        <w:rPr>
          <w:b w:val="0"/>
          <w:sz w:val="18"/>
        </w:rPr>
        <w:t>20</w:t>
      </w:r>
      <w:r w:rsidR="00BA6868" w:rsidRPr="00AC08FD">
        <w:rPr>
          <w:b w:val="0"/>
          <w:sz w:val="18"/>
        </w:rPr>
        <w:t xml:space="preserve"> r.</w:t>
      </w:r>
    </w:p>
    <w:p w:rsidR="004D53FF" w:rsidRPr="004D53FF" w:rsidRDefault="004D53FF" w:rsidP="004D53FF"/>
    <w:p w:rsidR="009971A7" w:rsidRPr="00683881" w:rsidRDefault="009971A7" w:rsidP="00CA7DE2">
      <w:pPr>
        <w:jc w:val="center"/>
        <w:outlineLvl w:val="0"/>
        <w:rPr>
          <w:b/>
          <w:sz w:val="18"/>
        </w:rPr>
      </w:pPr>
      <w:r w:rsidRPr="00683881">
        <w:rPr>
          <w:b/>
          <w:szCs w:val="24"/>
        </w:rPr>
        <w:t>UCHWAŁA NR</w:t>
      </w:r>
      <w:r w:rsidR="008663A3">
        <w:rPr>
          <w:b/>
          <w:szCs w:val="24"/>
        </w:rPr>
        <w:t xml:space="preserve">        </w:t>
      </w:r>
      <w:r w:rsidR="00BA6868">
        <w:rPr>
          <w:b/>
          <w:szCs w:val="24"/>
        </w:rPr>
        <w:t>/</w:t>
      </w:r>
      <w:r w:rsidR="008663A3">
        <w:rPr>
          <w:b/>
          <w:szCs w:val="24"/>
        </w:rPr>
        <w:t xml:space="preserve">          </w:t>
      </w:r>
      <w:r w:rsidR="008B4458">
        <w:rPr>
          <w:b/>
          <w:szCs w:val="24"/>
        </w:rPr>
        <w:t xml:space="preserve"> </w:t>
      </w:r>
      <w:r>
        <w:rPr>
          <w:b/>
          <w:szCs w:val="24"/>
        </w:rPr>
        <w:t>/</w:t>
      </w:r>
      <w:r w:rsidR="001A7C37">
        <w:rPr>
          <w:b/>
          <w:szCs w:val="24"/>
        </w:rPr>
        <w:t>20</w:t>
      </w:r>
    </w:p>
    <w:p w:rsidR="009971A7" w:rsidRPr="00683881" w:rsidRDefault="00AC08FD" w:rsidP="00CA7DE2">
      <w:pPr>
        <w:jc w:val="center"/>
        <w:outlineLvl w:val="0"/>
        <w:rPr>
          <w:b/>
          <w:szCs w:val="24"/>
        </w:rPr>
      </w:pPr>
      <w:r>
        <w:rPr>
          <w:b/>
          <w:szCs w:val="24"/>
        </w:rPr>
        <w:t>SEJMIKU</w:t>
      </w:r>
      <w:r w:rsidR="009971A7" w:rsidRPr="00683881">
        <w:rPr>
          <w:b/>
          <w:szCs w:val="24"/>
        </w:rPr>
        <w:t xml:space="preserve"> WOJEWÓDZTWA KUJAWSKO-POMORSKIEGO</w:t>
      </w:r>
    </w:p>
    <w:p w:rsidR="009971A7" w:rsidRDefault="009971A7" w:rsidP="00CA7DE2">
      <w:pPr>
        <w:jc w:val="center"/>
        <w:outlineLvl w:val="0"/>
        <w:rPr>
          <w:b/>
          <w:szCs w:val="24"/>
        </w:rPr>
      </w:pPr>
      <w:r w:rsidRPr="00683881">
        <w:rPr>
          <w:b/>
          <w:szCs w:val="24"/>
        </w:rPr>
        <w:t>z dnia</w:t>
      </w:r>
      <w:r w:rsidR="00360173">
        <w:rPr>
          <w:b/>
          <w:szCs w:val="24"/>
        </w:rPr>
        <w:t>…………………….</w:t>
      </w:r>
      <w:r w:rsidR="00617C9F">
        <w:rPr>
          <w:b/>
          <w:szCs w:val="24"/>
        </w:rPr>
        <w:t xml:space="preserve"> 20</w:t>
      </w:r>
      <w:r w:rsidR="001A7C37">
        <w:rPr>
          <w:b/>
          <w:szCs w:val="24"/>
        </w:rPr>
        <w:t>20</w:t>
      </w:r>
      <w:r>
        <w:rPr>
          <w:b/>
          <w:szCs w:val="24"/>
        </w:rPr>
        <w:t xml:space="preserve"> r.</w:t>
      </w:r>
    </w:p>
    <w:p w:rsidR="009971A7" w:rsidRDefault="009971A7" w:rsidP="00FF2AB1">
      <w:pPr>
        <w:jc w:val="center"/>
      </w:pPr>
    </w:p>
    <w:p w:rsidR="00AC08FD" w:rsidRDefault="00BA6868" w:rsidP="00BA6868">
      <w:pPr>
        <w:pStyle w:val="Tekstpodstawowy2"/>
        <w:spacing w:after="0" w:line="240" w:lineRule="auto"/>
        <w:jc w:val="both"/>
        <w:rPr>
          <w:b/>
        </w:rPr>
      </w:pPr>
      <w:r w:rsidRPr="008610C1">
        <w:rPr>
          <w:b/>
        </w:rPr>
        <w:t xml:space="preserve">w sprawie </w:t>
      </w:r>
      <w:r w:rsidR="00AC08FD">
        <w:rPr>
          <w:b/>
        </w:rPr>
        <w:t>w</w:t>
      </w:r>
      <w:r w:rsidR="00457A68">
        <w:rPr>
          <w:b/>
        </w:rPr>
        <w:t>yrażenia zgody na zawarcie umów</w:t>
      </w:r>
      <w:r w:rsidR="00AC08FD">
        <w:rPr>
          <w:b/>
        </w:rPr>
        <w:t xml:space="preserve"> na okres dłuższy niż jeden rok budżetowy na dofinansowanie robót budowlanych dotyczących obiektów służących rehabilitacji, w związku z potrzebami osób niepełnosprawnych, z wyjątkiem rozbiórki tych obiektów</w:t>
      </w:r>
    </w:p>
    <w:p w:rsidR="00AC08FD" w:rsidRDefault="00AC08FD" w:rsidP="00BA6868">
      <w:pPr>
        <w:pStyle w:val="Tekstpodstawowy"/>
        <w:tabs>
          <w:tab w:val="left" w:pos="0"/>
        </w:tabs>
        <w:rPr>
          <w:szCs w:val="24"/>
        </w:rPr>
      </w:pPr>
    </w:p>
    <w:p w:rsidR="00BA6868" w:rsidRDefault="00BA6868" w:rsidP="00017F34">
      <w:pPr>
        <w:jc w:val="both"/>
        <w:rPr>
          <w:szCs w:val="24"/>
        </w:rPr>
      </w:pPr>
      <w:r>
        <w:rPr>
          <w:szCs w:val="24"/>
        </w:rPr>
        <w:tab/>
      </w:r>
      <w:r w:rsidR="00AC08FD">
        <w:rPr>
          <w:szCs w:val="24"/>
        </w:rPr>
        <w:t xml:space="preserve">Na podstawie art. 18 pkt 20 </w:t>
      </w:r>
      <w:r w:rsidRPr="00003E02">
        <w:rPr>
          <w:szCs w:val="24"/>
        </w:rPr>
        <w:t>ustawy z dnia 5 czerwca 1998 r. o samorządzie</w:t>
      </w:r>
      <w:r w:rsidR="005F564A">
        <w:rPr>
          <w:szCs w:val="24"/>
        </w:rPr>
        <w:t xml:space="preserve"> województwa</w:t>
      </w:r>
      <w:r w:rsidR="00BD1F5C">
        <w:rPr>
          <w:szCs w:val="24"/>
        </w:rPr>
        <w:t xml:space="preserve"> </w:t>
      </w:r>
      <w:r w:rsidR="001A7C37">
        <w:rPr>
          <w:szCs w:val="24"/>
        </w:rPr>
        <w:t>(</w:t>
      </w:r>
      <w:r w:rsidR="001A7C37" w:rsidRPr="0094423C">
        <w:rPr>
          <w:szCs w:val="24"/>
        </w:rPr>
        <w:t>Dz. U. z 2019 r. poz. 512</w:t>
      </w:r>
      <w:r w:rsidR="001A7C37">
        <w:rPr>
          <w:szCs w:val="24"/>
        </w:rPr>
        <w:t xml:space="preserve">, </w:t>
      </w:r>
      <w:r w:rsidR="001A7C37" w:rsidRPr="0094423C">
        <w:rPr>
          <w:szCs w:val="24"/>
        </w:rPr>
        <w:t>poz. 1571 i poz. 1815</w:t>
      </w:r>
      <w:r w:rsidR="001A7C37">
        <w:rPr>
          <w:szCs w:val="24"/>
        </w:rPr>
        <w:t>)</w:t>
      </w:r>
      <w:r w:rsidR="00951287">
        <w:rPr>
          <w:szCs w:val="24"/>
        </w:rPr>
        <w:t xml:space="preserve">, </w:t>
      </w:r>
      <w:r w:rsidR="00AC08FD">
        <w:rPr>
          <w:szCs w:val="24"/>
        </w:rPr>
        <w:t>art. 35 ust. 1 pkt 5</w:t>
      </w:r>
      <w:r w:rsidRPr="00003E02">
        <w:rPr>
          <w:szCs w:val="24"/>
        </w:rPr>
        <w:t xml:space="preserve"> ustawy </w:t>
      </w:r>
      <w:r w:rsidR="00BD1F5C">
        <w:rPr>
          <w:szCs w:val="24"/>
        </w:rPr>
        <w:t xml:space="preserve"> </w:t>
      </w:r>
      <w:r w:rsidR="001A7C37">
        <w:rPr>
          <w:szCs w:val="24"/>
        </w:rPr>
        <w:br/>
      </w:r>
      <w:r w:rsidRPr="00003E02">
        <w:rPr>
          <w:szCs w:val="24"/>
        </w:rPr>
        <w:t>z dnia 27 sierpnia 1997 r. o rehabilitacji zawodowej i społecznej oraz zatrudnianiu osób niepełnosprawnych</w:t>
      </w:r>
      <w:r w:rsidR="00951287">
        <w:rPr>
          <w:szCs w:val="24"/>
        </w:rPr>
        <w:t xml:space="preserve"> </w:t>
      </w:r>
      <w:r w:rsidR="001F0A33" w:rsidRPr="00D177CA">
        <w:rPr>
          <w:szCs w:val="24"/>
        </w:rPr>
        <w:t>(</w:t>
      </w:r>
      <w:r w:rsidR="001A7C37" w:rsidRPr="0094423C">
        <w:t>Dz. U. z 2020 r. poz. 426</w:t>
      </w:r>
      <w:r w:rsidR="00AA5636">
        <w:t xml:space="preserve"> i poz. 568</w:t>
      </w:r>
      <w:r w:rsidR="001A7C37" w:rsidRPr="0094423C">
        <w:t>)</w:t>
      </w:r>
      <w:r w:rsidR="00003E02" w:rsidRPr="00003E02">
        <w:rPr>
          <w:szCs w:val="24"/>
        </w:rPr>
        <w:t xml:space="preserve">, § 9 ust. </w:t>
      </w:r>
      <w:r w:rsidR="00AC08FD">
        <w:rPr>
          <w:szCs w:val="24"/>
        </w:rPr>
        <w:t>2b</w:t>
      </w:r>
      <w:r w:rsidRPr="00003E02">
        <w:rPr>
          <w:szCs w:val="24"/>
        </w:rPr>
        <w:t xml:space="preserve"> rozporządzenia Ministra Pracy i Polityki Społecznej </w:t>
      </w:r>
      <w:r w:rsidR="001F0A33">
        <w:rPr>
          <w:szCs w:val="24"/>
        </w:rPr>
        <w:t xml:space="preserve"> </w:t>
      </w:r>
      <w:r w:rsidRPr="00003E02">
        <w:rPr>
          <w:szCs w:val="24"/>
        </w:rPr>
        <w:t xml:space="preserve">z dnia </w:t>
      </w:r>
      <w:r w:rsidR="00003E02" w:rsidRPr="00003E02">
        <w:rPr>
          <w:szCs w:val="24"/>
        </w:rPr>
        <w:t>6 sierpnia 2004 r. w sprawie określenia zadań samorządu województwa, które mogą być dofinansowane ze środków Państwowego Funduszu Rehabil</w:t>
      </w:r>
      <w:r w:rsidR="00457A68">
        <w:rPr>
          <w:szCs w:val="24"/>
        </w:rPr>
        <w:t xml:space="preserve">itacji Osób Niepełnosprawnych </w:t>
      </w:r>
      <w:r w:rsidR="00C52F8F" w:rsidRPr="00D07E4D">
        <w:rPr>
          <w:color w:val="000000"/>
          <w:szCs w:val="24"/>
        </w:rPr>
        <w:t>(Dz. U. z 2015 r., poz. 937),</w:t>
      </w:r>
      <w:r w:rsidR="00017F34">
        <w:rPr>
          <w:color w:val="000000"/>
          <w:szCs w:val="24"/>
        </w:rPr>
        <w:t xml:space="preserve"> </w:t>
      </w:r>
      <w:r>
        <w:rPr>
          <w:szCs w:val="24"/>
        </w:rPr>
        <w:t>uchwala się,</w:t>
      </w:r>
      <w:r w:rsidR="00BD1F5C">
        <w:rPr>
          <w:szCs w:val="24"/>
        </w:rPr>
        <w:t xml:space="preserve"> </w:t>
      </w:r>
      <w:r w:rsidR="001A7C37">
        <w:rPr>
          <w:szCs w:val="24"/>
        </w:rPr>
        <w:br/>
      </w:r>
      <w:r>
        <w:rPr>
          <w:szCs w:val="24"/>
        </w:rPr>
        <w:t>co następuje:</w:t>
      </w:r>
    </w:p>
    <w:p w:rsidR="00BA6868" w:rsidRDefault="00BA6868" w:rsidP="00BA6868">
      <w:pPr>
        <w:ind w:firstLine="708"/>
        <w:jc w:val="both"/>
        <w:rPr>
          <w:b/>
          <w:szCs w:val="24"/>
        </w:rPr>
      </w:pPr>
    </w:p>
    <w:p w:rsidR="001A7C37" w:rsidRDefault="00BA6868" w:rsidP="001A7C37">
      <w:pPr>
        <w:ind w:firstLine="708"/>
        <w:jc w:val="both"/>
        <w:rPr>
          <w:szCs w:val="24"/>
        </w:rPr>
      </w:pPr>
      <w:r>
        <w:rPr>
          <w:b/>
          <w:szCs w:val="24"/>
        </w:rPr>
        <w:t xml:space="preserve">§ 1. </w:t>
      </w:r>
      <w:r w:rsidR="001A7C37" w:rsidRPr="000356F0">
        <w:rPr>
          <w:szCs w:val="24"/>
        </w:rPr>
        <w:t xml:space="preserve">Wyraża się zgodę na zawarcie </w:t>
      </w:r>
      <w:r w:rsidR="001A7C37">
        <w:rPr>
          <w:szCs w:val="24"/>
        </w:rPr>
        <w:t>z wnioskodawcami wymienionymi w załączniku</w:t>
      </w:r>
      <w:r w:rsidR="001A7C37">
        <w:rPr>
          <w:szCs w:val="24"/>
        </w:rPr>
        <w:br/>
        <w:t>do niniejszej uchwały, umów</w:t>
      </w:r>
      <w:r w:rsidR="001A7C37" w:rsidRPr="000356F0">
        <w:rPr>
          <w:szCs w:val="24"/>
        </w:rPr>
        <w:t xml:space="preserve"> na dofinansowanie robót budowlanych dotyczących obiektów służących rehabilitacji, w związku z potrzebami osób niepełnosprawnych, z wyjątkiem rozbiórki tych obiektów ze środków Państwowego Funduszu Rehabilitacji Osób Niepełnosprawnych</w:t>
      </w:r>
      <w:r w:rsidR="001A7C37">
        <w:rPr>
          <w:szCs w:val="24"/>
        </w:rPr>
        <w:t xml:space="preserve"> </w:t>
      </w:r>
      <w:r w:rsidR="001A7C37" w:rsidRPr="000356F0">
        <w:rPr>
          <w:szCs w:val="24"/>
        </w:rPr>
        <w:t>w ramach zadań Samorządu Województwa Kujawsko-Pomorskiego</w:t>
      </w:r>
      <w:r w:rsidR="001A7C37">
        <w:rPr>
          <w:szCs w:val="24"/>
        </w:rPr>
        <w:br/>
        <w:t>na okres dłuższy niż jeden rok budżetowy.</w:t>
      </w:r>
    </w:p>
    <w:p w:rsidR="001A7C37" w:rsidRPr="00AC08FD" w:rsidRDefault="001A7C37" w:rsidP="001A7C37">
      <w:pPr>
        <w:ind w:firstLine="708"/>
        <w:jc w:val="both"/>
        <w:rPr>
          <w:b/>
          <w:szCs w:val="24"/>
        </w:rPr>
      </w:pPr>
    </w:p>
    <w:p w:rsidR="001A7C37" w:rsidRDefault="001A7C37" w:rsidP="001A7C37">
      <w:pPr>
        <w:tabs>
          <w:tab w:val="left" w:pos="709"/>
          <w:tab w:val="left" w:pos="993"/>
          <w:tab w:val="left" w:pos="1276"/>
        </w:tabs>
        <w:jc w:val="both"/>
        <w:rPr>
          <w:szCs w:val="24"/>
        </w:rPr>
      </w:pPr>
      <w:r>
        <w:rPr>
          <w:b/>
          <w:szCs w:val="24"/>
        </w:rPr>
        <w:tab/>
        <w:t>§ 2.</w:t>
      </w:r>
      <w:r w:rsidR="006F21B9">
        <w:rPr>
          <w:b/>
          <w:szCs w:val="24"/>
        </w:rPr>
        <w:t xml:space="preserve"> </w:t>
      </w:r>
      <w:r w:rsidRPr="00D02ECB">
        <w:rPr>
          <w:szCs w:val="24"/>
        </w:rPr>
        <w:t>Trac</w:t>
      </w:r>
      <w:r>
        <w:rPr>
          <w:szCs w:val="24"/>
        </w:rPr>
        <w:t xml:space="preserve">i </w:t>
      </w:r>
      <w:r w:rsidRPr="00C7219B">
        <w:rPr>
          <w:szCs w:val="24"/>
        </w:rPr>
        <w:t xml:space="preserve">moc uchwała Nr </w:t>
      </w:r>
      <w:r>
        <w:rPr>
          <w:szCs w:val="24"/>
        </w:rPr>
        <w:t xml:space="preserve">XX/369/16 Sejmiku Województwa Kujawsko-Pomorskiego z dnia 23 maja 2016 r. </w:t>
      </w:r>
      <w:r w:rsidRPr="00200236">
        <w:t>w sprawie w</w:t>
      </w:r>
      <w:r>
        <w:t>yrażenia zgody na zawarcie umów</w:t>
      </w:r>
      <w:r w:rsidRPr="00200236">
        <w:t xml:space="preserve"> na okres dłuższy niż jeden rok budżetowy na dofinansowanie robót budowlanych dotyczących obiektów służących rehabilitacji, w związku z potrzebami osób niepełnosprawnych,</w:t>
      </w:r>
      <w:r w:rsidR="00853911">
        <w:t xml:space="preserve"> </w:t>
      </w:r>
      <w:r w:rsidR="00224BAE">
        <w:br/>
      </w:r>
      <w:r w:rsidRPr="00200236">
        <w:t>z wyjątkiem rozbiórki tych obiektów</w:t>
      </w:r>
      <w:r>
        <w:t xml:space="preserve"> z </w:t>
      </w:r>
      <w:proofErr w:type="spellStart"/>
      <w:r>
        <w:t>późn</w:t>
      </w:r>
      <w:proofErr w:type="spellEnd"/>
      <w:r>
        <w:t>. zm.</w:t>
      </w:r>
      <w:r w:rsidRPr="00003E02">
        <w:rPr>
          <w:rStyle w:val="Odwoanieprzypisudolnego"/>
          <w:szCs w:val="24"/>
        </w:rPr>
        <w:footnoteReference w:id="1"/>
      </w:r>
    </w:p>
    <w:p w:rsidR="001A7C37" w:rsidRDefault="001A7C37" w:rsidP="001A7C37">
      <w:pPr>
        <w:tabs>
          <w:tab w:val="left" w:pos="709"/>
          <w:tab w:val="left" w:pos="993"/>
          <w:tab w:val="left" w:pos="1276"/>
        </w:tabs>
        <w:jc w:val="both"/>
        <w:rPr>
          <w:szCs w:val="24"/>
        </w:rPr>
      </w:pPr>
    </w:p>
    <w:p w:rsidR="00BA6868" w:rsidRDefault="00BA6868" w:rsidP="00BA6868">
      <w:pPr>
        <w:tabs>
          <w:tab w:val="left" w:pos="851"/>
          <w:tab w:val="left" w:pos="993"/>
          <w:tab w:val="left" w:pos="1276"/>
        </w:tabs>
        <w:ind w:firstLine="708"/>
        <w:jc w:val="both"/>
        <w:rPr>
          <w:szCs w:val="24"/>
        </w:rPr>
      </w:pPr>
      <w:r>
        <w:rPr>
          <w:b/>
          <w:bCs/>
        </w:rPr>
        <w:t xml:space="preserve">§ </w:t>
      </w:r>
      <w:r w:rsidR="001A7C37">
        <w:rPr>
          <w:b/>
          <w:bCs/>
        </w:rPr>
        <w:t>3</w:t>
      </w:r>
      <w:r>
        <w:rPr>
          <w:bCs/>
        </w:rPr>
        <w:t xml:space="preserve">. </w:t>
      </w:r>
      <w:r>
        <w:rPr>
          <w:szCs w:val="24"/>
        </w:rPr>
        <w:t xml:space="preserve">Wykonanie </w:t>
      </w:r>
      <w:r w:rsidR="00AC08FD">
        <w:rPr>
          <w:szCs w:val="24"/>
        </w:rPr>
        <w:t>uchwały powierza się Zarządowi</w:t>
      </w:r>
      <w:r>
        <w:rPr>
          <w:szCs w:val="24"/>
        </w:rPr>
        <w:t xml:space="preserve"> Województwa Kujawsko</w:t>
      </w:r>
      <w:r w:rsidR="00835B9B">
        <w:rPr>
          <w:szCs w:val="24"/>
        </w:rPr>
        <w:t>-</w:t>
      </w:r>
      <w:r>
        <w:rPr>
          <w:szCs w:val="24"/>
        </w:rPr>
        <w:t xml:space="preserve"> Pomorskiego.</w:t>
      </w:r>
    </w:p>
    <w:p w:rsidR="00BA6868" w:rsidRDefault="00BA6868" w:rsidP="00BA6868">
      <w:pPr>
        <w:ind w:firstLine="708"/>
        <w:jc w:val="both"/>
        <w:rPr>
          <w:bCs/>
        </w:rPr>
      </w:pPr>
    </w:p>
    <w:p w:rsidR="00BA6868" w:rsidRDefault="00BA6868" w:rsidP="00BA6868">
      <w:pPr>
        <w:spacing w:line="360" w:lineRule="auto"/>
        <w:ind w:firstLine="708"/>
        <w:rPr>
          <w:szCs w:val="24"/>
        </w:rPr>
      </w:pPr>
      <w:r>
        <w:rPr>
          <w:b/>
          <w:szCs w:val="24"/>
        </w:rPr>
        <w:t>§</w:t>
      </w:r>
      <w:r w:rsidR="002E51F7">
        <w:rPr>
          <w:b/>
          <w:szCs w:val="24"/>
        </w:rPr>
        <w:t xml:space="preserve"> </w:t>
      </w:r>
      <w:r w:rsidR="003E2793">
        <w:rPr>
          <w:b/>
          <w:szCs w:val="24"/>
        </w:rPr>
        <w:t>4</w:t>
      </w:r>
      <w:r>
        <w:rPr>
          <w:b/>
          <w:szCs w:val="24"/>
        </w:rPr>
        <w:t xml:space="preserve">. </w:t>
      </w:r>
      <w:r>
        <w:rPr>
          <w:szCs w:val="24"/>
        </w:rPr>
        <w:t>Uchwała wchodzi w życie z dniem podjęcia.</w:t>
      </w:r>
    </w:p>
    <w:p w:rsidR="009971A7" w:rsidRDefault="009971A7"/>
    <w:p w:rsidR="009971A7" w:rsidRDefault="009971A7"/>
    <w:p w:rsidR="009971A7" w:rsidRDefault="009971A7"/>
    <w:p w:rsidR="009971A7" w:rsidRDefault="009971A7"/>
    <w:p w:rsidR="009971A7" w:rsidRDefault="009971A7"/>
    <w:p w:rsidR="009971A7" w:rsidRDefault="009971A7"/>
    <w:p w:rsidR="009971A7" w:rsidRDefault="009971A7"/>
    <w:p w:rsidR="009971A7" w:rsidRDefault="009971A7"/>
    <w:p w:rsidR="004D53FF" w:rsidRDefault="004D53FF"/>
    <w:p w:rsidR="004D53FF" w:rsidRDefault="004D53FF"/>
    <w:p w:rsidR="004D53FF" w:rsidRDefault="004D53FF"/>
    <w:p w:rsidR="004D53FF" w:rsidRPr="004D53FF" w:rsidRDefault="004D53FF" w:rsidP="004D53FF">
      <w:pPr>
        <w:spacing w:after="200" w:line="276" w:lineRule="auto"/>
        <w:jc w:val="center"/>
        <w:rPr>
          <w:b/>
          <w:szCs w:val="24"/>
        </w:rPr>
      </w:pPr>
      <w:r w:rsidRPr="004D53FF">
        <w:rPr>
          <w:b/>
          <w:szCs w:val="24"/>
        </w:rPr>
        <w:t>UZASADNIENIE</w:t>
      </w:r>
    </w:p>
    <w:p w:rsidR="004D53FF" w:rsidRPr="004D53FF" w:rsidRDefault="004D53FF" w:rsidP="004D53FF">
      <w:pPr>
        <w:contextualSpacing/>
        <w:jc w:val="both"/>
        <w:rPr>
          <w:b/>
          <w:szCs w:val="24"/>
        </w:rPr>
      </w:pPr>
      <w:r w:rsidRPr="004D53FF">
        <w:rPr>
          <w:b/>
          <w:szCs w:val="24"/>
        </w:rPr>
        <w:t>1. Przedmiot regulacji:</w:t>
      </w:r>
    </w:p>
    <w:p w:rsidR="004D53FF" w:rsidRDefault="004D53FF" w:rsidP="004D53FF">
      <w:pPr>
        <w:jc w:val="both"/>
        <w:rPr>
          <w:bCs/>
          <w:szCs w:val="24"/>
        </w:rPr>
      </w:pPr>
      <w:r w:rsidRPr="004D53FF">
        <w:rPr>
          <w:bCs/>
          <w:szCs w:val="24"/>
        </w:rPr>
        <w:t xml:space="preserve">Wyrażenie zgody Wnioskodawcom wymienionym w </w:t>
      </w:r>
      <w:r w:rsidRPr="004D53FF">
        <w:rPr>
          <w:b/>
          <w:szCs w:val="24"/>
        </w:rPr>
        <w:t>poz. 4-5</w:t>
      </w:r>
      <w:r w:rsidRPr="004D53FF">
        <w:rPr>
          <w:bCs/>
          <w:szCs w:val="24"/>
        </w:rPr>
        <w:t xml:space="preserve"> załącznika do niniejszej uchwały, tj. </w:t>
      </w:r>
      <w:r w:rsidRPr="004D53FF">
        <w:rPr>
          <w:b/>
          <w:bCs/>
          <w:szCs w:val="24"/>
        </w:rPr>
        <w:t xml:space="preserve">Fundacji Społeczno-Charytatywnej Pomoc Rodzinie i Ziemi w Toruniu </w:t>
      </w:r>
      <w:r w:rsidRPr="004D53FF">
        <w:rPr>
          <w:b/>
          <w:bCs/>
          <w:szCs w:val="24"/>
        </w:rPr>
        <w:br/>
      </w:r>
      <w:r w:rsidRPr="004D53FF">
        <w:rPr>
          <w:szCs w:val="24"/>
        </w:rPr>
        <w:t xml:space="preserve">oraz </w:t>
      </w:r>
      <w:r w:rsidRPr="004D53FF">
        <w:rPr>
          <w:b/>
          <w:bCs/>
          <w:szCs w:val="24"/>
        </w:rPr>
        <w:t>Fundacji ,,Ochrona Zdrowia i Rehabilitacja Niepełnosprawnych"</w:t>
      </w:r>
      <w:r w:rsidRPr="004D53FF">
        <w:rPr>
          <w:bCs/>
          <w:szCs w:val="24"/>
        </w:rPr>
        <w:t xml:space="preserve">, zgody </w:t>
      </w:r>
      <w:r w:rsidRPr="004D53FF">
        <w:rPr>
          <w:bCs/>
          <w:szCs w:val="24"/>
        </w:rPr>
        <w:br/>
        <w:t xml:space="preserve">na zawarcie umów na okres dłuższy niż jeden rok budżetowy na dofinansowanie ze środków Państwowego Funduszu Rehabilitacji Osób Niepełnosprawnych robót budowlanych </w:t>
      </w:r>
      <w:r w:rsidRPr="004D53FF">
        <w:rPr>
          <w:bCs/>
          <w:szCs w:val="24"/>
        </w:rPr>
        <w:br/>
        <w:t xml:space="preserve">w rozumieniu przepisów ustawy z dnia 7 lipca 1994 r. </w:t>
      </w:r>
      <w:r w:rsidRPr="004D53FF">
        <w:rPr>
          <w:b/>
          <w:bCs/>
          <w:szCs w:val="24"/>
        </w:rPr>
        <w:t xml:space="preserve">- </w:t>
      </w:r>
      <w:r w:rsidRPr="004D53FF">
        <w:rPr>
          <w:bCs/>
          <w:szCs w:val="24"/>
        </w:rPr>
        <w:t xml:space="preserve">Prawo budowlane (Dz. U. z 2019 r. poz. 1186 z </w:t>
      </w:r>
      <w:proofErr w:type="spellStart"/>
      <w:r w:rsidRPr="004D53FF">
        <w:rPr>
          <w:bCs/>
          <w:szCs w:val="24"/>
        </w:rPr>
        <w:t>późn</w:t>
      </w:r>
      <w:proofErr w:type="spellEnd"/>
      <w:r w:rsidRPr="004D53FF">
        <w:rPr>
          <w:bCs/>
          <w:szCs w:val="24"/>
        </w:rPr>
        <w:t xml:space="preserve">. zm.) dotyczących obiektów służących rehabilitacji, w związku </w:t>
      </w:r>
      <w:r w:rsidRPr="004D53FF">
        <w:rPr>
          <w:bCs/>
          <w:szCs w:val="24"/>
        </w:rPr>
        <w:br/>
        <w:t>z potrzebami osób niepełnosprawnych, z wyjątkiem rozbiórki tych obiektów.</w:t>
      </w:r>
    </w:p>
    <w:p w:rsidR="004D53FF" w:rsidRPr="004D53FF" w:rsidRDefault="004D53FF" w:rsidP="004D53FF">
      <w:pPr>
        <w:jc w:val="both"/>
        <w:rPr>
          <w:b/>
          <w:bCs/>
          <w:szCs w:val="24"/>
        </w:rPr>
      </w:pPr>
    </w:p>
    <w:p w:rsidR="004D53FF" w:rsidRPr="004D53FF" w:rsidRDefault="004D53FF" w:rsidP="004D53FF">
      <w:pPr>
        <w:contextualSpacing/>
        <w:jc w:val="both"/>
        <w:rPr>
          <w:b/>
          <w:szCs w:val="24"/>
        </w:rPr>
      </w:pPr>
      <w:r w:rsidRPr="004D53FF">
        <w:rPr>
          <w:b/>
          <w:szCs w:val="24"/>
        </w:rPr>
        <w:t>2. Omówienie podstawy prawnej:</w:t>
      </w:r>
    </w:p>
    <w:p w:rsidR="004D53FF" w:rsidRPr="004D53FF" w:rsidRDefault="004D53FF" w:rsidP="004D53FF">
      <w:pPr>
        <w:tabs>
          <w:tab w:val="left" w:pos="0"/>
        </w:tabs>
        <w:ind w:left="284" w:hanging="284"/>
        <w:contextualSpacing/>
        <w:jc w:val="both"/>
        <w:rPr>
          <w:szCs w:val="24"/>
        </w:rPr>
      </w:pPr>
      <w:r w:rsidRPr="004D53FF">
        <w:rPr>
          <w:szCs w:val="24"/>
        </w:rPr>
        <w:t>1) w myśl art. 18 pkt 20 ustawy z dnia 5 czerwca 1998 r. o samorządzie województwa</w:t>
      </w:r>
      <w:r w:rsidRPr="004D53FF">
        <w:rPr>
          <w:szCs w:val="24"/>
        </w:rPr>
        <w:br/>
        <w:t xml:space="preserve">(Dz. U. z 2019 r. poz. 512 z </w:t>
      </w:r>
      <w:proofErr w:type="spellStart"/>
      <w:r w:rsidRPr="004D53FF">
        <w:rPr>
          <w:szCs w:val="24"/>
        </w:rPr>
        <w:t>późn</w:t>
      </w:r>
      <w:proofErr w:type="spellEnd"/>
      <w:r w:rsidRPr="004D53FF">
        <w:rPr>
          <w:szCs w:val="24"/>
        </w:rPr>
        <w:t>. zm.),  do wyłącznej właściwości sejmiku województwa należy podejmowanie uchwał w innych sprawach zastrzeżonych ustawami i statutem województwa do kompetencji sejmiku województwa;</w:t>
      </w:r>
    </w:p>
    <w:p w:rsidR="004D53FF" w:rsidRPr="004D53FF" w:rsidRDefault="004D53FF" w:rsidP="004D53FF">
      <w:pPr>
        <w:tabs>
          <w:tab w:val="left" w:pos="0"/>
        </w:tabs>
        <w:ind w:left="284" w:hanging="284"/>
        <w:contextualSpacing/>
        <w:jc w:val="both"/>
        <w:rPr>
          <w:szCs w:val="24"/>
        </w:rPr>
      </w:pPr>
      <w:r w:rsidRPr="004D53FF">
        <w:rPr>
          <w:szCs w:val="24"/>
        </w:rPr>
        <w:t xml:space="preserve">2) art. 35 ust. 1 pkt 5 ustawy z dnia 27 sierpnia 1997 r. o rehabilitacji zawodowej i społecznej </w:t>
      </w:r>
      <w:r w:rsidRPr="004D53FF">
        <w:rPr>
          <w:szCs w:val="24"/>
        </w:rPr>
        <w:br/>
        <w:t xml:space="preserve">oraz zatrudnianiu osób niepełnosprawnych (Dz. U. z 2020 r. poz. 426, z </w:t>
      </w:r>
      <w:proofErr w:type="spellStart"/>
      <w:r w:rsidRPr="004D53FF">
        <w:rPr>
          <w:szCs w:val="24"/>
        </w:rPr>
        <w:t>późn</w:t>
      </w:r>
      <w:proofErr w:type="spellEnd"/>
      <w:r w:rsidRPr="004D53FF">
        <w:rPr>
          <w:szCs w:val="24"/>
        </w:rPr>
        <w:t xml:space="preserve">. zm.), stanowi, że do zadań samorządu województwa realizowanych w ramach ustawy, należy dofinansowanie robót budowlanych w rozumieniu przepisów ustawy z dnia 7 lipca 1994 r. - Prawo budowlane (Dz. U. z 2019 r. poz. 1186 z </w:t>
      </w:r>
      <w:proofErr w:type="spellStart"/>
      <w:r w:rsidRPr="004D53FF">
        <w:rPr>
          <w:szCs w:val="24"/>
        </w:rPr>
        <w:t>późn</w:t>
      </w:r>
      <w:proofErr w:type="spellEnd"/>
      <w:r w:rsidRPr="004D53FF">
        <w:rPr>
          <w:szCs w:val="24"/>
        </w:rPr>
        <w:t>. zm.) dotyczących obiektów służących rehabilitacji, w związku z potrzebami osób niepełnosprawnych, z wyjątkiem rozbiórki tych obiektów;</w:t>
      </w:r>
    </w:p>
    <w:p w:rsidR="004D53FF" w:rsidRDefault="004D53FF" w:rsidP="004D53FF">
      <w:pPr>
        <w:tabs>
          <w:tab w:val="left" w:pos="0"/>
        </w:tabs>
        <w:ind w:left="284" w:hanging="284"/>
        <w:contextualSpacing/>
        <w:jc w:val="both"/>
        <w:rPr>
          <w:rFonts w:eastAsia="Calibri"/>
          <w:szCs w:val="24"/>
        </w:rPr>
      </w:pPr>
      <w:r w:rsidRPr="004D53FF">
        <w:rPr>
          <w:szCs w:val="24"/>
        </w:rPr>
        <w:t xml:space="preserve">3) </w:t>
      </w:r>
      <w:r w:rsidRPr="004D53FF">
        <w:rPr>
          <w:rFonts w:eastAsia="Calibri"/>
          <w:szCs w:val="24"/>
        </w:rPr>
        <w:t xml:space="preserve">§ 9 ust. </w:t>
      </w:r>
      <w:r w:rsidRPr="004D53FF">
        <w:rPr>
          <w:szCs w:val="24"/>
        </w:rPr>
        <w:t>2b rozporządzenia Ministra Pracy i Polityki Społecznej z dnia 6 sierpnia 2004 r.</w:t>
      </w:r>
      <w:r w:rsidRPr="004D53FF">
        <w:rPr>
          <w:szCs w:val="24"/>
        </w:rPr>
        <w:br/>
        <w:t xml:space="preserve">w sprawie określenia zadań samorządu województwa, które mogą być dofinansowane </w:t>
      </w:r>
      <w:r w:rsidRPr="004D53FF">
        <w:rPr>
          <w:szCs w:val="24"/>
        </w:rPr>
        <w:br/>
        <w:t xml:space="preserve">ze środków Państwowego Funduszu Rehabilitacji Osób Niepełnosprawnych </w:t>
      </w:r>
      <w:r w:rsidRPr="004D53FF">
        <w:rPr>
          <w:szCs w:val="24"/>
        </w:rPr>
        <w:br/>
      </w:r>
      <w:r w:rsidRPr="004D53FF">
        <w:rPr>
          <w:color w:val="000000"/>
          <w:szCs w:val="24"/>
        </w:rPr>
        <w:t>(Dz. U. z 2015 r., poz. 937)</w:t>
      </w:r>
      <w:r w:rsidRPr="004D53FF">
        <w:rPr>
          <w:szCs w:val="24"/>
        </w:rPr>
        <w:t xml:space="preserve"> wskazuje, że </w:t>
      </w:r>
      <w:r w:rsidRPr="004D53FF">
        <w:rPr>
          <w:rFonts w:eastAsia="Calibri"/>
          <w:szCs w:val="24"/>
        </w:rPr>
        <w:t>zawarcie umów na dofinansowanie robót budowlanych dotyczących obiektów służących rehabilitacji, w związku z potrzebami osób niepełnosprawnych, z wyjątkiem rozbiórki tych obiektów, na okres dłuższy niż 1 rok budżetowy wymaga zgody sejmiku województwa w postaci uchwały.</w:t>
      </w:r>
    </w:p>
    <w:p w:rsidR="004D53FF" w:rsidRPr="004D53FF" w:rsidRDefault="004D53FF" w:rsidP="004D53FF">
      <w:pPr>
        <w:tabs>
          <w:tab w:val="left" w:pos="0"/>
        </w:tabs>
        <w:ind w:left="284" w:hanging="284"/>
        <w:contextualSpacing/>
        <w:jc w:val="both"/>
        <w:rPr>
          <w:szCs w:val="24"/>
        </w:rPr>
      </w:pPr>
    </w:p>
    <w:p w:rsidR="004D53FF" w:rsidRPr="004D53FF" w:rsidRDefault="004D53FF" w:rsidP="004D53FF">
      <w:pPr>
        <w:contextualSpacing/>
        <w:jc w:val="both"/>
        <w:rPr>
          <w:b/>
          <w:szCs w:val="24"/>
        </w:rPr>
      </w:pPr>
      <w:r w:rsidRPr="004D53FF">
        <w:rPr>
          <w:b/>
          <w:szCs w:val="24"/>
        </w:rPr>
        <w:t>3. Konsultacje wymagane przepisami prawa (łącznie z przepisami wewnętrznymi)</w:t>
      </w:r>
    </w:p>
    <w:p w:rsidR="004D53FF" w:rsidRDefault="004D53FF" w:rsidP="004D53FF">
      <w:pPr>
        <w:ind w:left="284"/>
        <w:contextualSpacing/>
        <w:jc w:val="both"/>
        <w:rPr>
          <w:szCs w:val="24"/>
        </w:rPr>
      </w:pPr>
      <w:r w:rsidRPr="004D53FF">
        <w:rPr>
          <w:szCs w:val="24"/>
        </w:rPr>
        <w:t>Projekt uchwały nie podlega konsultacjom/uzgodnieniom.</w:t>
      </w:r>
    </w:p>
    <w:p w:rsidR="004D53FF" w:rsidRPr="004D53FF" w:rsidRDefault="004D53FF" w:rsidP="004D53FF">
      <w:pPr>
        <w:ind w:left="284"/>
        <w:contextualSpacing/>
        <w:jc w:val="both"/>
        <w:rPr>
          <w:szCs w:val="24"/>
        </w:rPr>
      </w:pPr>
    </w:p>
    <w:p w:rsidR="004D53FF" w:rsidRPr="004D53FF" w:rsidRDefault="004D53FF" w:rsidP="004D53FF">
      <w:pPr>
        <w:contextualSpacing/>
        <w:jc w:val="both"/>
        <w:rPr>
          <w:b/>
          <w:szCs w:val="24"/>
        </w:rPr>
      </w:pPr>
      <w:r w:rsidRPr="004D53FF">
        <w:rPr>
          <w:b/>
          <w:szCs w:val="24"/>
        </w:rPr>
        <w:t>4. Uzasadnienie merytoryczne</w:t>
      </w:r>
    </w:p>
    <w:p w:rsidR="004D53FF" w:rsidRPr="004D53FF" w:rsidRDefault="004D53FF" w:rsidP="004D53FF">
      <w:pPr>
        <w:ind w:firstLine="708"/>
        <w:jc w:val="both"/>
        <w:rPr>
          <w:szCs w:val="24"/>
        </w:rPr>
      </w:pPr>
      <w:r w:rsidRPr="004D53FF">
        <w:rPr>
          <w:rFonts w:eastAsia="Calibri"/>
          <w:szCs w:val="24"/>
        </w:rPr>
        <w:t xml:space="preserve">Na podstawie uchwały </w:t>
      </w:r>
      <w:r w:rsidRPr="004D53FF">
        <w:rPr>
          <w:szCs w:val="24"/>
        </w:rPr>
        <w:t xml:space="preserve">Nr XX/369/16 Sejmiku Województwa Kujawsko-Pomorskiego z dnia 23 maja 2016 r. w sprawie wyrażenia zgody na zawarcie umów na okres dłuższy niż jeden rok budżetowy na dofinansowanie robót budowlanych dotyczących obiektów służących rehabilitacji, w związku z potrzebami osób niepełnosprawnych, z wyjątkiem rozbiórki tych obiektów z </w:t>
      </w:r>
      <w:proofErr w:type="spellStart"/>
      <w:r w:rsidRPr="004D53FF">
        <w:rPr>
          <w:szCs w:val="24"/>
        </w:rPr>
        <w:t>późn</w:t>
      </w:r>
      <w:proofErr w:type="spellEnd"/>
      <w:r w:rsidRPr="004D53FF">
        <w:rPr>
          <w:szCs w:val="24"/>
        </w:rPr>
        <w:t xml:space="preserve">. zm., Wnioskodawcy wymienieni w poz. 1-3 załącznika do niniejszej uchwały realizują inwestycje wieloletnie, których okres realizacji przewidziano na lata 2019-2020. </w:t>
      </w:r>
      <w:r w:rsidRPr="004D53FF">
        <w:rPr>
          <w:rFonts w:eastAsia="Calibri"/>
          <w:szCs w:val="24"/>
        </w:rPr>
        <w:t xml:space="preserve">Ze względu na </w:t>
      </w:r>
      <w:r w:rsidRPr="004D53FF">
        <w:rPr>
          <w:szCs w:val="24"/>
        </w:rPr>
        <w:t xml:space="preserve">zakończenie procedur przetargowych </w:t>
      </w:r>
      <w:r w:rsidRPr="004D53FF">
        <w:rPr>
          <w:rFonts w:eastAsia="Calibri"/>
          <w:szCs w:val="24"/>
        </w:rPr>
        <w:t xml:space="preserve">na roboty budowlane objęte umowami na dofinansowanie robót budowlanych, w </w:t>
      </w:r>
      <w:r w:rsidRPr="004D53FF">
        <w:rPr>
          <w:rFonts w:eastAsia="Calibri"/>
          <w:b/>
          <w:bCs/>
          <w:szCs w:val="24"/>
        </w:rPr>
        <w:t>poz. 2</w:t>
      </w:r>
      <w:r w:rsidRPr="004D53FF">
        <w:rPr>
          <w:rFonts w:eastAsia="Calibri"/>
          <w:szCs w:val="24"/>
        </w:rPr>
        <w:t xml:space="preserve"> i </w:t>
      </w:r>
      <w:r w:rsidRPr="004D53FF">
        <w:rPr>
          <w:rFonts w:eastAsia="Calibri"/>
          <w:b/>
          <w:bCs/>
          <w:szCs w:val="24"/>
        </w:rPr>
        <w:t>3</w:t>
      </w:r>
      <w:r w:rsidRPr="004D53FF">
        <w:rPr>
          <w:rFonts w:eastAsia="Calibri"/>
          <w:szCs w:val="24"/>
        </w:rPr>
        <w:t xml:space="preserve"> załącznika do niniejszej uchwały dokonano aktualizacji całkowitych kosztów realizacji zadań. W przypadku Wnioskodawcy wymienionego w poz. 2, tj. </w:t>
      </w:r>
      <w:r w:rsidRPr="004D53FF">
        <w:rPr>
          <w:b/>
          <w:bCs/>
          <w:szCs w:val="24"/>
        </w:rPr>
        <w:t>Stowarzyszenia Sportu i Rehabilitacji Osób Niepełnosprawnych ,,Start Bydgoszcz”,</w:t>
      </w:r>
      <w:r w:rsidRPr="004D53FF">
        <w:rPr>
          <w:szCs w:val="24"/>
        </w:rPr>
        <w:t xml:space="preserve"> wykonawca przedłożył kosztorys ofertowy </w:t>
      </w:r>
      <w:r w:rsidRPr="004D53FF">
        <w:rPr>
          <w:szCs w:val="24"/>
        </w:rPr>
        <w:br/>
        <w:t xml:space="preserve">na wartość niższą robót budowlanych niż zakładano w umowie. Z uwagi na fakt, </w:t>
      </w:r>
      <w:r w:rsidRPr="004D53FF">
        <w:rPr>
          <w:szCs w:val="24"/>
        </w:rPr>
        <w:br/>
        <w:t xml:space="preserve">że w przypadku omawianego wyżej podmiotu ustalona pierwotnie wysokość dofinansowania przekraczała 50% kosztów rzeczywistych, uległa ona zmniejszeniu do poziomu 50% wartości zadania. Ustalona w ten sposób wysokość dofinansowania, zgodnie z zapisami umowy na dofinansowanie, została zaokrąglona do pełnego złotego w dół z pominięciem groszy. </w:t>
      </w:r>
    </w:p>
    <w:p w:rsidR="004D53FF" w:rsidRPr="004D53FF" w:rsidRDefault="004D53FF" w:rsidP="004D53FF">
      <w:pPr>
        <w:ind w:firstLine="708"/>
        <w:jc w:val="both"/>
        <w:rPr>
          <w:rFonts w:eastAsia="Calibri"/>
          <w:szCs w:val="24"/>
        </w:rPr>
      </w:pPr>
      <w:r w:rsidRPr="004D53FF">
        <w:rPr>
          <w:rFonts w:eastAsia="Calibri"/>
          <w:szCs w:val="24"/>
        </w:rPr>
        <w:lastRenderedPageBreak/>
        <w:t>Wnioskodawca</w:t>
      </w:r>
      <w:r w:rsidRPr="004D53FF">
        <w:rPr>
          <w:szCs w:val="24"/>
        </w:rPr>
        <w:t xml:space="preserve"> wymieniony w </w:t>
      </w:r>
      <w:r w:rsidRPr="004D53FF">
        <w:rPr>
          <w:b/>
          <w:szCs w:val="24"/>
        </w:rPr>
        <w:t>poz. 4</w:t>
      </w:r>
      <w:r w:rsidRPr="004D53FF">
        <w:rPr>
          <w:szCs w:val="24"/>
        </w:rPr>
        <w:t xml:space="preserve"> załącznika do niniejszej uchwały</w:t>
      </w:r>
      <w:r w:rsidRPr="004D53FF">
        <w:rPr>
          <w:bCs/>
          <w:szCs w:val="24"/>
        </w:rPr>
        <w:t>,</w:t>
      </w:r>
      <w:r w:rsidRPr="004D53FF">
        <w:rPr>
          <w:b/>
          <w:szCs w:val="24"/>
        </w:rPr>
        <w:br/>
      </w:r>
      <w:r w:rsidRPr="004D53FF">
        <w:rPr>
          <w:szCs w:val="24"/>
        </w:rPr>
        <w:t xml:space="preserve">tj. </w:t>
      </w:r>
      <w:r w:rsidRPr="004D53FF">
        <w:rPr>
          <w:b/>
          <w:bCs/>
          <w:szCs w:val="24"/>
        </w:rPr>
        <w:t>Fundacja Społeczno-Charytatywna Pomoc Rodzinie i Ziemi w Toruniu</w:t>
      </w:r>
      <w:r w:rsidRPr="004D53FF">
        <w:rPr>
          <w:szCs w:val="24"/>
        </w:rPr>
        <w:t>, wystąpiła</w:t>
      </w:r>
      <w:r w:rsidRPr="004D53FF">
        <w:rPr>
          <w:szCs w:val="24"/>
        </w:rPr>
        <w:br/>
        <w:t xml:space="preserve">z wnioskiem dotyczącym budowy Zakładu Pielęgnacyjno-Opiekuńczego dla Dzieci </w:t>
      </w:r>
      <w:r w:rsidRPr="004D53FF">
        <w:rPr>
          <w:szCs w:val="24"/>
        </w:rPr>
        <w:br/>
        <w:t xml:space="preserve">i Młodzieży przy ul. Służewskiej 7 w Toruniu. Okres realizacji inwestycji zaplanowano </w:t>
      </w:r>
      <w:r w:rsidRPr="004D53FF">
        <w:rPr>
          <w:szCs w:val="24"/>
        </w:rPr>
        <w:br/>
        <w:t xml:space="preserve">na lata 2020-2022. </w:t>
      </w:r>
      <w:r w:rsidRPr="004D53FF">
        <w:rPr>
          <w:rFonts w:eastAsia="Calibri"/>
          <w:szCs w:val="24"/>
        </w:rPr>
        <w:t>Całkowity koszt realizacji zadania</w:t>
      </w:r>
      <w:r w:rsidRPr="004D53FF">
        <w:rPr>
          <w:szCs w:val="24"/>
        </w:rPr>
        <w:t xml:space="preserve"> </w:t>
      </w:r>
      <w:r w:rsidRPr="004D53FF">
        <w:rPr>
          <w:rFonts w:eastAsia="Calibri"/>
          <w:szCs w:val="24"/>
        </w:rPr>
        <w:t>po weryfikacji złożo</w:t>
      </w:r>
      <w:r w:rsidRPr="004D53FF">
        <w:rPr>
          <w:szCs w:val="24"/>
        </w:rPr>
        <w:t xml:space="preserve">nego wniosku wynosi 8.629.800,54 zł. Planowane dofinansowanie ze środków PFRON wynosi 2.428.000,00 zł w 2020 r. oraz 1.722.000,00 zł w 2021 r. Kwota dofinansowania na 2021 r. będzie mogła być przyznana po podjęciu przez Sejmik Województwa Kujawsko-Pomorskiego uchwały określającej zadania Samorządu Województwa Kujawsko-Pomorskiego finansowane </w:t>
      </w:r>
      <w:r w:rsidRPr="004D53FF">
        <w:rPr>
          <w:szCs w:val="24"/>
        </w:rPr>
        <w:br/>
        <w:t xml:space="preserve">ze środków PFRON na 2021 r. oraz podjęciu przez Zarząd Województwa Kujawsko-Pomorskiego uchwały w sprawie podziału środków przyznanych przez PFRON </w:t>
      </w:r>
      <w:r w:rsidRPr="004D53FF">
        <w:rPr>
          <w:szCs w:val="24"/>
        </w:rPr>
        <w:br/>
        <w:t xml:space="preserve">do wykorzystania w 2021 r. </w:t>
      </w:r>
      <w:r w:rsidRPr="004D53FF">
        <w:rPr>
          <w:rFonts w:eastAsia="Calibri"/>
          <w:szCs w:val="24"/>
        </w:rPr>
        <w:t xml:space="preserve">Pozostałe źródło finansowania inwestycji stanowić będą środki EFRR i środki budżetu państwa pozyskane przez Wnioskodawcę ramach Regionalnego Programu Operacyjnego Województwa Kujawsko-Pomorskiego na lata 2014-2020 w kwocie 4.470.588,00 zł oraz środki własne w kwocie 9.212,54 zł. Przewidziany </w:t>
      </w:r>
      <w:r w:rsidRPr="004D53FF">
        <w:rPr>
          <w:rFonts w:eastAsia="Calibri"/>
          <w:szCs w:val="24"/>
        </w:rPr>
        <w:br/>
        <w:t xml:space="preserve">na 2022 r. ostatni etap zadania finansowany będzie wyłącznie w ramach udziału własnego Wnioskodawcy. </w:t>
      </w:r>
    </w:p>
    <w:p w:rsidR="004D53FF" w:rsidRPr="004D53FF" w:rsidRDefault="004D53FF" w:rsidP="004D53FF">
      <w:pPr>
        <w:ind w:firstLine="708"/>
        <w:jc w:val="both"/>
        <w:rPr>
          <w:szCs w:val="24"/>
        </w:rPr>
      </w:pPr>
      <w:r w:rsidRPr="004D53FF">
        <w:rPr>
          <w:bCs/>
          <w:szCs w:val="24"/>
        </w:rPr>
        <w:t xml:space="preserve">W wyniku realizacji zadania powstanie oddział opieki długoterminowej dla dzieci </w:t>
      </w:r>
      <w:r w:rsidRPr="004D53FF">
        <w:rPr>
          <w:bCs/>
          <w:szCs w:val="24"/>
        </w:rPr>
        <w:br/>
        <w:t xml:space="preserve">i młodzieży niepełnosprawnej (13 miejsc łóżkowych, w tym izolatka). Powstanie ponadto strefa wejściowa do budynku (wiatrołap, poczekalnia, </w:t>
      </w:r>
      <w:proofErr w:type="spellStart"/>
      <w:r w:rsidRPr="004D53FF">
        <w:rPr>
          <w:bCs/>
          <w:szCs w:val="24"/>
        </w:rPr>
        <w:t>wc</w:t>
      </w:r>
      <w:proofErr w:type="spellEnd"/>
      <w:r w:rsidRPr="004D53FF">
        <w:rPr>
          <w:bCs/>
          <w:szCs w:val="24"/>
        </w:rPr>
        <w:t xml:space="preserve"> odwiedzających, </w:t>
      </w:r>
      <w:proofErr w:type="spellStart"/>
      <w:r w:rsidRPr="004D53FF">
        <w:rPr>
          <w:bCs/>
          <w:szCs w:val="24"/>
        </w:rPr>
        <w:t>wc</w:t>
      </w:r>
      <w:proofErr w:type="spellEnd"/>
      <w:r w:rsidRPr="004D53FF">
        <w:rPr>
          <w:bCs/>
          <w:szCs w:val="24"/>
        </w:rPr>
        <w:t xml:space="preserve"> pacjentów, korytarz, sala wielofunkcyjna z zapleczem technicznym, pomieszczenia techniczne i obsługi budynku niezbędne do użytkowania oddziału (rozdzielnia elektryczna, kotłownia, pomieszczenie próżni i tlenowni, niezbędne pomieszczenia izby przyjęć. Oddział składał się będzie z 6 </w:t>
      </w:r>
      <w:proofErr w:type="spellStart"/>
      <w:r w:rsidRPr="004D53FF">
        <w:rPr>
          <w:bCs/>
          <w:szCs w:val="24"/>
        </w:rPr>
        <w:t>sal</w:t>
      </w:r>
      <w:proofErr w:type="spellEnd"/>
      <w:r w:rsidRPr="004D53FF">
        <w:rPr>
          <w:bCs/>
          <w:szCs w:val="24"/>
        </w:rPr>
        <w:t xml:space="preserve"> dwuosobowych i izolatki, przystosowanych do poruszania się na wózkach inwalidzkich.</w:t>
      </w:r>
      <w:r w:rsidRPr="004D53FF">
        <w:rPr>
          <w:b/>
          <w:szCs w:val="24"/>
        </w:rPr>
        <w:t xml:space="preserve"> </w:t>
      </w:r>
      <w:r w:rsidRPr="004D53FF">
        <w:rPr>
          <w:szCs w:val="24"/>
        </w:rPr>
        <w:t xml:space="preserve">Budowa pozwoli na rozszerzenie dotychczasowej działalności pielęgnacyjno-opiekuńczej poprzez poprawę miejsc i poprawę warunków lokalowych dla dzieci niepełnosprawnych, w tym również pod respiratorami. Placówka udzielać będzie całodobowych świadczeń z zakresu pielęgnacji, opieki i rehabilitacji osób z niepełnosprawnością, nie wymagających hospitalizacji oraz zapewni im kontynuację leczenia farmakologicznego, wyżywienia odpowiedniego do stanu zdrowia a także edukację. Odbiorcami świadczeń będą przede wszystkim dzieci i młodzież niepełnosprawna z dużymi deficytami samoobsługi, wymagające stałej, długotrwałej opieki i pielęgnacji. W zakładzie świadczona będzie pomoc osobom z niepełnosprawnością w odzyskaniu możliwie największego zakresu sprawności i niezależności, mająca na celu poprawę jakości ich życia. W ośrodku prowadzone będą indywidualne i grupowe zajęcia fizjoterapeutyczne oraz terapeutyczne. Na chwilę obecną w Toruniu brak jest stacjonarnego hospicjum dla dzieci. Rodzice są zmuszeni do opieki domowej nad dzieckiem, co często przekracza ich siły i możliwości. Fundacja Społeczno-Charytatywna Pomoc Rodzinie i Ziemi prowadzi jedyne w Toruniu hospicjum domowe dla dzieci oraz stacjonarny całodobowy Zakład Pielęgnacyjno-Opiekuńczy dla Dzieci i Młodzieży (jedyny w całym województwie kujawsko-pomorskim) wraz z pododdziałem dla dzieci wentylowanych mechanicznie (pod respiratorami) - jedyny w północnej Polsce. </w:t>
      </w:r>
    </w:p>
    <w:p w:rsidR="004D53FF" w:rsidRPr="004D53FF" w:rsidRDefault="004D53FF" w:rsidP="004D53FF">
      <w:pPr>
        <w:ind w:firstLine="708"/>
        <w:jc w:val="both"/>
        <w:rPr>
          <w:b/>
          <w:szCs w:val="24"/>
        </w:rPr>
      </w:pPr>
      <w:r w:rsidRPr="004D53FF">
        <w:rPr>
          <w:rFonts w:eastAsia="Calibri"/>
          <w:szCs w:val="24"/>
        </w:rPr>
        <w:t>Wnioskodawca</w:t>
      </w:r>
      <w:r w:rsidRPr="004D53FF">
        <w:rPr>
          <w:szCs w:val="24"/>
        </w:rPr>
        <w:t xml:space="preserve"> wymieniony w </w:t>
      </w:r>
      <w:r w:rsidRPr="004D53FF">
        <w:rPr>
          <w:b/>
          <w:szCs w:val="24"/>
        </w:rPr>
        <w:t>poz. 5, tj</w:t>
      </w:r>
      <w:r w:rsidRPr="004D53FF">
        <w:rPr>
          <w:bCs/>
          <w:szCs w:val="24"/>
        </w:rPr>
        <w:t xml:space="preserve">. </w:t>
      </w:r>
      <w:r w:rsidRPr="004D53FF">
        <w:rPr>
          <w:b/>
          <w:szCs w:val="24"/>
        </w:rPr>
        <w:t xml:space="preserve">Fundacja ,,Ochrona Zdrowia  </w:t>
      </w:r>
      <w:r w:rsidRPr="004D53FF">
        <w:rPr>
          <w:b/>
          <w:szCs w:val="24"/>
        </w:rPr>
        <w:br/>
        <w:t>i Rehabilitacja Niepełnosprawnych"</w:t>
      </w:r>
      <w:r w:rsidRPr="004D53FF">
        <w:rPr>
          <w:bCs/>
          <w:szCs w:val="24"/>
        </w:rPr>
        <w:t xml:space="preserve">, wystąpiła z wnioskiem dotyczącym rozbudowy Ośrodka Integracji Społecznej i Zawodowej Osób Niepełnosprawnych o pomieszczenia </w:t>
      </w:r>
      <w:r w:rsidRPr="004D53FF">
        <w:rPr>
          <w:bCs/>
          <w:szCs w:val="24"/>
        </w:rPr>
        <w:br/>
        <w:t xml:space="preserve">do fizjoterapii ruchowej, sportu i rekreacji wraz z zagospodarowaniem przyległego otoczenia (otwarta strefa rekreacji). </w:t>
      </w:r>
      <w:r w:rsidRPr="004D53FF">
        <w:rPr>
          <w:szCs w:val="24"/>
        </w:rPr>
        <w:t xml:space="preserve">Okres realizacji inwestycji zaplanowano na lata 2020-2021. </w:t>
      </w:r>
      <w:r w:rsidRPr="004D53FF">
        <w:rPr>
          <w:rFonts w:eastAsia="Calibri"/>
          <w:szCs w:val="24"/>
        </w:rPr>
        <w:t>Całkowity koszt realizacji zadania</w:t>
      </w:r>
      <w:r w:rsidRPr="004D53FF">
        <w:rPr>
          <w:szCs w:val="24"/>
        </w:rPr>
        <w:t xml:space="preserve"> </w:t>
      </w:r>
      <w:r w:rsidRPr="004D53FF">
        <w:rPr>
          <w:rFonts w:eastAsia="Calibri"/>
          <w:szCs w:val="24"/>
        </w:rPr>
        <w:t>po weryfikacji złożo</w:t>
      </w:r>
      <w:r w:rsidRPr="004D53FF">
        <w:rPr>
          <w:szCs w:val="24"/>
        </w:rPr>
        <w:t xml:space="preserve">nego wniosku wynosi 2.009.537,28 zł. Planowane dofinansowanie ze środków PFRON wynosi 355.087,00 zł w 2020 r. oraz 455.000,00 zł w 2021 r. Kwota dofinansowania na 2021 r. będzie mogła być przyznana </w:t>
      </w:r>
      <w:r w:rsidRPr="004D53FF">
        <w:rPr>
          <w:szCs w:val="24"/>
        </w:rPr>
        <w:br/>
        <w:t xml:space="preserve">po podjęciu przez Sejmik Województwa Kujawsko-Pomorskiego uchwały określającej zadania Samorządu Województwa Kujawsko-Pomorskiego finansowane ze środków PFRON </w:t>
      </w:r>
      <w:r w:rsidRPr="004D53FF">
        <w:rPr>
          <w:szCs w:val="24"/>
        </w:rPr>
        <w:br/>
        <w:t xml:space="preserve">na 2021 r. oraz podjęciu przez Zarząd Województwa Kujawsko-Pomorskiego uchwały </w:t>
      </w:r>
      <w:r w:rsidRPr="004D53FF">
        <w:rPr>
          <w:szCs w:val="24"/>
        </w:rPr>
        <w:br/>
      </w:r>
      <w:r w:rsidRPr="004D53FF">
        <w:rPr>
          <w:szCs w:val="24"/>
        </w:rPr>
        <w:lastRenderedPageBreak/>
        <w:t xml:space="preserve">w sprawie podziału środków przyznanych przez PFRON do wykorzystania w 2021 r. </w:t>
      </w:r>
      <w:r w:rsidRPr="004D53FF">
        <w:rPr>
          <w:rFonts w:eastAsia="Calibri"/>
          <w:szCs w:val="24"/>
        </w:rPr>
        <w:t xml:space="preserve">Pozostałe źródło finansowania inwestycji stanowić będą środki EFRR i środki budżetu państwa pozyskane przez Wnioskodawcę ramach Regionalnego Programu Operacyjnego Województwa Kujawsko-Pomorskiego na lata 2014-2020 w kwocie 1.093.364,44 zł oraz środki własne w kwocie 106.085,84. </w:t>
      </w:r>
      <w:r w:rsidRPr="004D53FF">
        <w:rPr>
          <w:bCs/>
          <w:szCs w:val="24"/>
        </w:rPr>
        <w:t xml:space="preserve">W wyniku realizacji zadania dobudowane zostanie dwukondygnacyjne skrzydło budynku oraz powstanie otwarta strefa rekreacji. Utworzone zostaną kolejne miejsca pracy dla osób niepełnosprawnych, związane z bezpośrednią obsługą urządzeń i eksploatacją pomieszczeń w rozbudowanej części budynku. Oddanie do użytku nowej części budynku umożliwi funkcjonowanie w pełnym zakresie zadaniowym powołanego przez Wnioskodawcę Ośrodka Integracji Społecznej i Zawodowej Osób Niepełnosprawnych. Ośrodek zapewnia dostęp do wielu specjalistów, którzy nieodpłatnie świadczyć będą wsparcie i pomoc sprzyjającą pełniejszemu społecznemu i ekonomicznemu usamodzielnieniu. Skoncentrowanie kompleksowego wsparcia w jednym miejscu sprzyjać będzie poczuciu bezpieczeństwa osób niepełnosprawnych od momentu podjęcia rehabilitacji po wejście na rynek pracy. Wnioskodawca zakłada, że z efektów zadania korzystać będą osoby z różnych grup wykluczenia społecznego, w tym osoby niepełnosprawne nigdzie nie zorganizowane w formalnych strukturach oraz seniorzy. Wspólnie z warsztatem terapii zajęciowej, prowadzonym przez Wnioskodawcę, planowane jest wdrożenie programu praktyk i staży dla jego uczestników oraz zajęć klubowych. Z efektów zadania korzystać będą mogły inne organizacje pozarządowe oraz grupy nieformalne, realizujące różnorodne formy wsparcia na rzecz osób </w:t>
      </w:r>
      <w:proofErr w:type="spellStart"/>
      <w:r w:rsidRPr="004D53FF">
        <w:rPr>
          <w:bCs/>
          <w:szCs w:val="24"/>
        </w:rPr>
        <w:t>defaworyzowanych</w:t>
      </w:r>
      <w:proofErr w:type="spellEnd"/>
      <w:r w:rsidRPr="004D53FF">
        <w:rPr>
          <w:bCs/>
          <w:szCs w:val="24"/>
        </w:rPr>
        <w:t xml:space="preserve"> (kluby seniorskie, koła emerytów i osoby formalnie nie przynależące do żadnej z tych grup). Powstała infrastruktura służyć będzie również organizacji imprez skierowanych do osób niepełnosprawnych, tj. turniejów, spartakiad, konkursów z zakresu upowszechniania różnych form kultury z udziałem niepełnosprawnych. Szacuje się, że bezpośrednio z efektów zadania korzystać będzie 456 osób niepełnosprawnych, w tym 240 mieszkańców wsi. </w:t>
      </w:r>
    </w:p>
    <w:p w:rsidR="004D53FF" w:rsidRPr="004D53FF" w:rsidRDefault="004D53FF" w:rsidP="004D53FF">
      <w:pPr>
        <w:contextualSpacing/>
        <w:rPr>
          <w:b/>
          <w:szCs w:val="24"/>
        </w:rPr>
      </w:pPr>
    </w:p>
    <w:p w:rsidR="004D53FF" w:rsidRPr="004D53FF" w:rsidRDefault="004D53FF" w:rsidP="004D53FF">
      <w:pPr>
        <w:contextualSpacing/>
        <w:jc w:val="both"/>
        <w:rPr>
          <w:b/>
          <w:szCs w:val="24"/>
        </w:rPr>
      </w:pPr>
      <w:r w:rsidRPr="004D53FF">
        <w:rPr>
          <w:b/>
          <w:szCs w:val="24"/>
        </w:rPr>
        <w:t>5. Ocena skutków regulacji</w:t>
      </w:r>
    </w:p>
    <w:p w:rsidR="004D53FF" w:rsidRPr="004D53FF" w:rsidRDefault="004D53FF" w:rsidP="004D53FF">
      <w:pPr>
        <w:jc w:val="both"/>
        <w:rPr>
          <w:rFonts w:eastAsia="Calibri"/>
          <w:szCs w:val="24"/>
        </w:rPr>
      </w:pPr>
      <w:r w:rsidRPr="004D53FF">
        <w:rPr>
          <w:szCs w:val="24"/>
        </w:rPr>
        <w:t xml:space="preserve">Wnioskodawcy wymienieni w </w:t>
      </w:r>
      <w:r w:rsidRPr="004D53FF">
        <w:rPr>
          <w:b/>
          <w:bCs/>
          <w:szCs w:val="24"/>
        </w:rPr>
        <w:t>poz. 1-6</w:t>
      </w:r>
      <w:r w:rsidRPr="004D53FF">
        <w:rPr>
          <w:szCs w:val="24"/>
        </w:rPr>
        <w:t xml:space="preserve"> załącznika do uchwały Nr XX/369/16 Sejmiku Województwa Kujawsko-Pomorskiego z dnia 23 maja 2016 r. zakończyli realizację umów wieloletnich zawartych z Województwem Kujawsko-Pomorskim, wobec czego w celu zachowania czytelności, zasadne jest wycofanie z obrotu prawnego ww. uchwały. </w:t>
      </w:r>
    </w:p>
    <w:p w:rsidR="004D53FF" w:rsidRPr="004D53FF" w:rsidRDefault="004D53FF" w:rsidP="004D53FF">
      <w:pPr>
        <w:ind w:left="284"/>
        <w:contextualSpacing/>
        <w:jc w:val="both"/>
        <w:rPr>
          <w:szCs w:val="24"/>
        </w:rPr>
      </w:pPr>
    </w:p>
    <w:p w:rsidR="004D53FF" w:rsidRPr="004D53FF" w:rsidRDefault="004D53FF" w:rsidP="004D53FF">
      <w:pPr>
        <w:ind w:left="284"/>
        <w:contextualSpacing/>
        <w:jc w:val="both"/>
        <w:rPr>
          <w:szCs w:val="24"/>
        </w:rPr>
      </w:pPr>
    </w:p>
    <w:p w:rsidR="004D53FF" w:rsidRPr="004D53FF" w:rsidRDefault="004D53FF" w:rsidP="004D53FF">
      <w:pPr>
        <w:ind w:left="284"/>
        <w:contextualSpacing/>
        <w:rPr>
          <w:szCs w:val="24"/>
        </w:rPr>
      </w:pPr>
    </w:p>
    <w:p w:rsidR="004D53FF" w:rsidRDefault="004D53FF"/>
    <w:sectPr w:rsidR="004D53FF" w:rsidSect="008E2B6F">
      <w:pgSz w:w="11906" w:h="16838" w:code="9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E45" w:rsidRDefault="00431E45" w:rsidP="000E0258">
      <w:r>
        <w:separator/>
      </w:r>
    </w:p>
  </w:endnote>
  <w:endnote w:type="continuationSeparator" w:id="0">
    <w:p w:rsidR="00431E45" w:rsidRDefault="00431E45" w:rsidP="000E0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E45" w:rsidRDefault="00431E45" w:rsidP="000E0258">
      <w:r>
        <w:separator/>
      </w:r>
    </w:p>
  </w:footnote>
  <w:footnote w:type="continuationSeparator" w:id="0">
    <w:p w:rsidR="00431E45" w:rsidRDefault="00431E45" w:rsidP="000E0258">
      <w:r>
        <w:continuationSeparator/>
      </w:r>
    </w:p>
  </w:footnote>
  <w:footnote w:id="1">
    <w:p w:rsidR="001A7C37" w:rsidRPr="006F4AF3" w:rsidRDefault="001A7C37" w:rsidP="001A7C37">
      <w:pPr>
        <w:pStyle w:val="Tekstprzypisudolnego"/>
        <w:jc w:val="both"/>
        <w:rPr>
          <w:sz w:val="18"/>
          <w:szCs w:val="18"/>
        </w:rPr>
      </w:pPr>
      <w:r w:rsidRPr="006F4AF3">
        <w:rPr>
          <w:rStyle w:val="Odwoanieprzypisudolnego"/>
          <w:sz w:val="18"/>
          <w:szCs w:val="18"/>
        </w:rPr>
        <w:footnoteRef/>
      </w:r>
      <w:r w:rsidRPr="006F4AF3">
        <w:rPr>
          <w:sz w:val="18"/>
          <w:szCs w:val="18"/>
        </w:rPr>
        <w:t xml:space="preserve"> Tekst wymienionej uchwały został zmieniony uchwałą Sejmiku Województwa Kujawsko-Pomorskiego Nr XXXI/529/17 </w:t>
      </w:r>
      <w:r>
        <w:rPr>
          <w:sz w:val="18"/>
          <w:szCs w:val="18"/>
        </w:rPr>
        <w:br/>
      </w:r>
      <w:r w:rsidRPr="006F4AF3">
        <w:rPr>
          <w:sz w:val="18"/>
          <w:szCs w:val="18"/>
        </w:rPr>
        <w:t>z dnia 24 kwietnia 2</w:t>
      </w:r>
      <w:r>
        <w:rPr>
          <w:sz w:val="18"/>
          <w:szCs w:val="18"/>
        </w:rPr>
        <w:t xml:space="preserve">017 r., Nr </w:t>
      </w:r>
      <w:r w:rsidRPr="006F4AF3">
        <w:rPr>
          <w:sz w:val="18"/>
          <w:szCs w:val="18"/>
        </w:rPr>
        <w:t>XXXV/579/17 z dnia 28 sierpnia 2017 r.</w:t>
      </w:r>
      <w:r>
        <w:rPr>
          <w:sz w:val="18"/>
          <w:szCs w:val="18"/>
        </w:rPr>
        <w:t xml:space="preserve">, Nr XXXVII/619/17 z dnia 23 października </w:t>
      </w:r>
      <w:r>
        <w:rPr>
          <w:sz w:val="18"/>
          <w:szCs w:val="18"/>
        </w:rPr>
        <w:br/>
        <w:t xml:space="preserve">2017 r., Nr XLIX/815/18 z dnia 24 września 2018 r., Nr V/103/19 z dnia 15 kwietnia 2019 r. oraz Nr </w:t>
      </w:r>
      <w:r w:rsidR="006F21B9">
        <w:rPr>
          <w:sz w:val="18"/>
          <w:szCs w:val="18"/>
        </w:rPr>
        <w:t>X/194/19 z dnia</w:t>
      </w:r>
      <w:r w:rsidR="006F21B9">
        <w:rPr>
          <w:sz w:val="18"/>
          <w:szCs w:val="18"/>
        </w:rPr>
        <w:br/>
        <w:t>23 września 2019 r.</w:t>
      </w:r>
    </w:p>
    <w:p w:rsidR="001A7C37" w:rsidRPr="000A58F5" w:rsidRDefault="001A7C37" w:rsidP="001A7C37">
      <w:pPr>
        <w:pStyle w:val="Default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258"/>
    <w:rsid w:val="00003E02"/>
    <w:rsid w:val="0001188A"/>
    <w:rsid w:val="000176ED"/>
    <w:rsid w:val="00017F34"/>
    <w:rsid w:val="00031B76"/>
    <w:rsid w:val="00037211"/>
    <w:rsid w:val="00053FF6"/>
    <w:rsid w:val="00057778"/>
    <w:rsid w:val="00063B0B"/>
    <w:rsid w:val="00067C07"/>
    <w:rsid w:val="000A58F5"/>
    <w:rsid w:val="000B595F"/>
    <w:rsid w:val="000E0258"/>
    <w:rsid w:val="000F3F0E"/>
    <w:rsid w:val="00100287"/>
    <w:rsid w:val="00114EC8"/>
    <w:rsid w:val="00126238"/>
    <w:rsid w:val="00137EBB"/>
    <w:rsid w:val="001A1E1C"/>
    <w:rsid w:val="001A7C37"/>
    <w:rsid w:val="001A7FC4"/>
    <w:rsid w:val="001C18F1"/>
    <w:rsid w:val="001D09C8"/>
    <w:rsid w:val="001F0A33"/>
    <w:rsid w:val="001F4AEB"/>
    <w:rsid w:val="00224BAE"/>
    <w:rsid w:val="00230232"/>
    <w:rsid w:val="002336A9"/>
    <w:rsid w:val="00255E26"/>
    <w:rsid w:val="00262ED5"/>
    <w:rsid w:val="002B471F"/>
    <w:rsid w:val="002E51F7"/>
    <w:rsid w:val="002F09CD"/>
    <w:rsid w:val="002F334C"/>
    <w:rsid w:val="002F36BD"/>
    <w:rsid w:val="00305A05"/>
    <w:rsid w:val="003068CF"/>
    <w:rsid w:val="003137E5"/>
    <w:rsid w:val="00316D25"/>
    <w:rsid w:val="00360173"/>
    <w:rsid w:val="00361D03"/>
    <w:rsid w:val="003A7B14"/>
    <w:rsid w:val="003B7D30"/>
    <w:rsid w:val="003C7C35"/>
    <w:rsid w:val="003D7909"/>
    <w:rsid w:val="003E2793"/>
    <w:rsid w:val="00406827"/>
    <w:rsid w:val="00431E45"/>
    <w:rsid w:val="0045066A"/>
    <w:rsid w:val="00456607"/>
    <w:rsid w:val="00457A68"/>
    <w:rsid w:val="004934D9"/>
    <w:rsid w:val="004C28B0"/>
    <w:rsid w:val="004C74E5"/>
    <w:rsid w:val="004D09EE"/>
    <w:rsid w:val="004D53FF"/>
    <w:rsid w:val="005163E2"/>
    <w:rsid w:val="00516AEB"/>
    <w:rsid w:val="00536BBA"/>
    <w:rsid w:val="005421B1"/>
    <w:rsid w:val="00560680"/>
    <w:rsid w:val="005A0130"/>
    <w:rsid w:val="005A5A92"/>
    <w:rsid w:val="005B50E2"/>
    <w:rsid w:val="005C26E2"/>
    <w:rsid w:val="005D039D"/>
    <w:rsid w:val="005F564A"/>
    <w:rsid w:val="006136B2"/>
    <w:rsid w:val="00617C9F"/>
    <w:rsid w:val="0064395C"/>
    <w:rsid w:val="00683881"/>
    <w:rsid w:val="0069585B"/>
    <w:rsid w:val="006A00AC"/>
    <w:rsid w:val="006B2CDF"/>
    <w:rsid w:val="006B730F"/>
    <w:rsid w:val="006F21B9"/>
    <w:rsid w:val="006F4AF3"/>
    <w:rsid w:val="00704DCA"/>
    <w:rsid w:val="00732E8B"/>
    <w:rsid w:val="00733E89"/>
    <w:rsid w:val="007522C6"/>
    <w:rsid w:val="0078636A"/>
    <w:rsid w:val="00790BBB"/>
    <w:rsid w:val="00796878"/>
    <w:rsid w:val="007B2065"/>
    <w:rsid w:val="007C1A31"/>
    <w:rsid w:val="00827526"/>
    <w:rsid w:val="00835B9B"/>
    <w:rsid w:val="00853911"/>
    <w:rsid w:val="008663A3"/>
    <w:rsid w:val="008A531F"/>
    <w:rsid w:val="008B4458"/>
    <w:rsid w:val="008E2B6F"/>
    <w:rsid w:val="008E592E"/>
    <w:rsid w:val="00935B6B"/>
    <w:rsid w:val="00951287"/>
    <w:rsid w:val="009652E4"/>
    <w:rsid w:val="00970043"/>
    <w:rsid w:val="00993D39"/>
    <w:rsid w:val="009971A7"/>
    <w:rsid w:val="009C2304"/>
    <w:rsid w:val="00A11C16"/>
    <w:rsid w:val="00AA5636"/>
    <w:rsid w:val="00AB1A1D"/>
    <w:rsid w:val="00AC08FD"/>
    <w:rsid w:val="00B10099"/>
    <w:rsid w:val="00B555A8"/>
    <w:rsid w:val="00B655B1"/>
    <w:rsid w:val="00B71A25"/>
    <w:rsid w:val="00B97B38"/>
    <w:rsid w:val="00BA6868"/>
    <w:rsid w:val="00BB4102"/>
    <w:rsid w:val="00BC52BC"/>
    <w:rsid w:val="00BD1F5C"/>
    <w:rsid w:val="00BD22C1"/>
    <w:rsid w:val="00BD724F"/>
    <w:rsid w:val="00BE2A6D"/>
    <w:rsid w:val="00BF37A2"/>
    <w:rsid w:val="00C52F8F"/>
    <w:rsid w:val="00C72396"/>
    <w:rsid w:val="00C803FE"/>
    <w:rsid w:val="00CA2B44"/>
    <w:rsid w:val="00CA7DE2"/>
    <w:rsid w:val="00CB1538"/>
    <w:rsid w:val="00CD6B7B"/>
    <w:rsid w:val="00D050FA"/>
    <w:rsid w:val="00D07E4D"/>
    <w:rsid w:val="00D35779"/>
    <w:rsid w:val="00D37708"/>
    <w:rsid w:val="00D44A58"/>
    <w:rsid w:val="00D544C2"/>
    <w:rsid w:val="00D5523F"/>
    <w:rsid w:val="00DC0F49"/>
    <w:rsid w:val="00DF1FD4"/>
    <w:rsid w:val="00E00667"/>
    <w:rsid w:val="00E047AF"/>
    <w:rsid w:val="00E1608E"/>
    <w:rsid w:val="00E51F2A"/>
    <w:rsid w:val="00E5451F"/>
    <w:rsid w:val="00E73FDE"/>
    <w:rsid w:val="00E9139C"/>
    <w:rsid w:val="00EA07CC"/>
    <w:rsid w:val="00EB24F6"/>
    <w:rsid w:val="00F359B9"/>
    <w:rsid w:val="00F743C7"/>
    <w:rsid w:val="00F77817"/>
    <w:rsid w:val="00F865C7"/>
    <w:rsid w:val="00F87462"/>
    <w:rsid w:val="00F97475"/>
    <w:rsid w:val="00FB45DD"/>
    <w:rsid w:val="00FC357D"/>
    <w:rsid w:val="00FD547E"/>
    <w:rsid w:val="00FE7C63"/>
    <w:rsid w:val="00FF2AB1"/>
    <w:rsid w:val="00FF655C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ED3E4A-61BE-49DF-83A8-31E1BE34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0258"/>
    <w:rPr>
      <w:rFonts w:ascii="Times New Roman" w:eastAsia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E0258"/>
    <w:pPr>
      <w:keepNext/>
      <w:outlineLvl w:val="0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E025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0E0258"/>
    <w:rPr>
      <w:rFonts w:ascii="Times New Roman" w:hAnsi="Times New Roman" w:cs="Times New Roman"/>
      <w:b/>
      <w:sz w:val="20"/>
      <w:szCs w:val="20"/>
      <w:lang w:eastAsia="pl-PL"/>
    </w:rPr>
  </w:style>
  <w:style w:type="character" w:customStyle="1" w:styleId="Nagwek6Znak">
    <w:name w:val="Nagłówek 6 Znak"/>
    <w:link w:val="Nagwek6"/>
    <w:uiPriority w:val="99"/>
    <w:semiHidden/>
    <w:locked/>
    <w:rsid w:val="000E0258"/>
    <w:rPr>
      <w:rFonts w:ascii="Times New Roman" w:hAnsi="Times New Roman" w:cs="Times New Roman"/>
      <w:b/>
      <w:bCs/>
      <w:lang w:eastAsia="pl-PL"/>
    </w:rPr>
  </w:style>
  <w:style w:type="paragraph" w:styleId="Tekstprzypisudolnego">
    <w:name w:val="footnote text"/>
    <w:basedOn w:val="Normalny"/>
    <w:link w:val="TekstprzypisudolnegoZnak"/>
    <w:rsid w:val="000E0258"/>
    <w:rPr>
      <w:sz w:val="20"/>
    </w:rPr>
  </w:style>
  <w:style w:type="character" w:customStyle="1" w:styleId="TekstprzypisudolnegoZnak">
    <w:name w:val="Tekst przypisu dolnego Znak"/>
    <w:link w:val="Tekstprzypisudolnego"/>
    <w:locked/>
    <w:rsid w:val="000E0258"/>
    <w:rPr>
      <w:rFonts w:ascii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E0258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0E0258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E0258"/>
    <w:pPr>
      <w:jc w:val="both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0E0258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E0258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CA7DE2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FE7C63"/>
    <w:rPr>
      <w:rFonts w:ascii="Times New Roman" w:hAnsi="Times New Roman" w:cs="Times New Roman"/>
      <w:sz w:val="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A6868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A6868"/>
    <w:rPr>
      <w:rFonts w:ascii="Times New Roman" w:eastAsia="Times New Roman" w:hAnsi="Times New Roman"/>
      <w:sz w:val="24"/>
      <w:szCs w:val="20"/>
    </w:rPr>
  </w:style>
  <w:style w:type="character" w:styleId="Odwoanieprzypisukocowego">
    <w:name w:val="endnote reference"/>
    <w:uiPriority w:val="99"/>
    <w:semiHidden/>
    <w:unhideWhenUsed/>
    <w:rsid w:val="00003E02"/>
    <w:rPr>
      <w:vertAlign w:val="superscript"/>
    </w:rPr>
  </w:style>
  <w:style w:type="paragraph" w:customStyle="1" w:styleId="Default">
    <w:name w:val="Default"/>
    <w:rsid w:val="00E047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C1A92-2996-4586-8E4E-3B16023EB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1772</Words>
  <Characters>10633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65/1385/11</vt:lpstr>
    </vt:vector>
  </TitlesOfParts>
  <Company/>
  <LinksUpToDate>false</LinksUpToDate>
  <CharactersWithSpaces>12381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65/1385/11</dc:title>
  <dc:subject/>
  <dc:creator>Krzysztof Przewoźny</dc:creator>
  <cp:keywords/>
  <dc:description/>
  <cp:lastModifiedBy>Maryla Majtczak</cp:lastModifiedBy>
  <cp:revision>11</cp:revision>
  <cp:lastPrinted>2018-09-05T10:43:00Z</cp:lastPrinted>
  <dcterms:created xsi:type="dcterms:W3CDTF">2020-03-19T11:35:00Z</dcterms:created>
  <dcterms:modified xsi:type="dcterms:W3CDTF">2020-04-29T11:43:00Z</dcterms:modified>
</cp:coreProperties>
</file>