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65" w:rsidRPr="001259C1" w:rsidRDefault="007E0865" w:rsidP="007E0865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1259C1">
        <w:rPr>
          <w:color w:val="auto"/>
        </w:rPr>
        <w:t>Opis przedmiotu zamówienia</w:t>
      </w:r>
      <w:r w:rsidR="00CC0410" w:rsidRPr="001259C1">
        <w:rPr>
          <w:color w:val="auto"/>
        </w:rPr>
        <w:t xml:space="preserve"> (OPZ)</w:t>
      </w:r>
      <w:r w:rsidRPr="001259C1">
        <w:rPr>
          <w:color w:val="auto"/>
        </w:rPr>
        <w:t xml:space="preserve"> dla zadania: „</w:t>
      </w:r>
      <w:r w:rsidRPr="001259C1">
        <w:rPr>
          <w:b/>
          <w:color w:val="auto"/>
        </w:rPr>
        <w:t>Zakup sprzętu i oprogramowania do digitalizacji</w:t>
      </w:r>
      <w:r w:rsidRPr="001259C1">
        <w:rPr>
          <w:color w:val="auto"/>
        </w:rPr>
        <w:t xml:space="preserve">”, projekt </w:t>
      </w:r>
      <w:r w:rsidRPr="001259C1">
        <w:rPr>
          <w:b/>
          <w:color w:val="auto"/>
        </w:rPr>
        <w:t>„Kultura w zasięgu 2.0” realizowany w ramach Regionalnego Programu Operacyjnego Województwa Kujawsko-Pomorskiego na lata 2014-2020, Działanie 2.1 C</w:t>
      </w:r>
      <w:r w:rsidR="00B02F07" w:rsidRPr="001259C1">
        <w:rPr>
          <w:b/>
          <w:color w:val="auto"/>
        </w:rPr>
        <w:t>yfrowa</w:t>
      </w:r>
      <w:r w:rsidRPr="001259C1">
        <w:rPr>
          <w:b/>
          <w:color w:val="auto"/>
        </w:rPr>
        <w:t xml:space="preserve"> </w:t>
      </w:r>
      <w:r w:rsidR="00B02F07" w:rsidRPr="001259C1">
        <w:rPr>
          <w:b/>
          <w:color w:val="auto"/>
        </w:rPr>
        <w:t>dostępność i</w:t>
      </w:r>
      <w:r w:rsidRPr="001259C1">
        <w:rPr>
          <w:b/>
          <w:color w:val="auto"/>
        </w:rPr>
        <w:t xml:space="preserve"> </w:t>
      </w:r>
      <w:r w:rsidR="00B02F07" w:rsidRPr="001259C1">
        <w:rPr>
          <w:b/>
          <w:color w:val="auto"/>
        </w:rPr>
        <w:t>użyteczność informacji sektora publicznego oraz zasobów nauki, kultury i dziedzictwa regionalnego.</w:t>
      </w:r>
      <w:r w:rsidR="00464A7C">
        <w:rPr>
          <w:b/>
          <w:color w:val="auto"/>
        </w:rPr>
        <w:t xml:space="preserve"> Pakiet dla Partnera Galeria Sztuki Współczesnej we </w:t>
      </w:r>
      <w:r w:rsidR="000E6A7F">
        <w:rPr>
          <w:b/>
          <w:color w:val="auto"/>
        </w:rPr>
        <w:t>Włocławku</w:t>
      </w:r>
      <w:r w:rsidR="00464A7C">
        <w:rPr>
          <w:b/>
          <w:color w:val="auto"/>
        </w:rPr>
        <w:t>.</w:t>
      </w:r>
    </w:p>
    <w:p w:rsidR="007E0865" w:rsidRPr="001259C1" w:rsidRDefault="007E0865" w:rsidP="007E0865"/>
    <w:p w:rsidR="007E0865" w:rsidRPr="001259C1" w:rsidRDefault="007E0865" w:rsidP="007E0865">
      <w:pPr>
        <w:rPr>
          <w:b/>
        </w:rPr>
      </w:pPr>
      <w:r w:rsidRPr="001259C1">
        <w:rPr>
          <w:b/>
          <w:highlight w:val="cyan"/>
        </w:rPr>
        <w:t>Warunki wstępne</w:t>
      </w:r>
    </w:p>
    <w:p w:rsidR="007E0865" w:rsidRPr="001259C1" w:rsidRDefault="007E0865" w:rsidP="008F388F">
      <w:pPr>
        <w:jc w:val="both"/>
      </w:pPr>
      <w:r w:rsidRPr="001259C1">
        <w:t xml:space="preserve">Wszystkie oferowane urządzenia muszą być fabrycznie nowe. </w:t>
      </w:r>
    </w:p>
    <w:p w:rsidR="007E0865" w:rsidRPr="001259C1" w:rsidRDefault="007E0865" w:rsidP="008F388F">
      <w:pPr>
        <w:jc w:val="both"/>
      </w:pPr>
      <w:r w:rsidRPr="001259C1">
        <w:t>Wszystkie oferowane urządzenia muszą posiadać deklaracje zgodności CE (Dyrektywy: 73/23/EWG, 89/336/EWG, 1999/5/WE i 93/68/EWG) i być oznakowane zgodnie z ustawą o systemie oceny zgodności z 30.08.2002 r. (Dz.U. nr 204 poz. 2087 z 2004 r.), Rozporządzeniem Ministra Gospodarki w sprawie zasadniczych wymagań dla sprzętu elektrycznego z dnia 15.12.2005 r. (Dz.U. 259 poz. 2172 z 2005 r.) i Rozporządzeniem Ministra Transportu i Budownictwa w sprawie dokonywania oceny zgodności aparatury z zasadniczymi wymaganiami dotyczącymi kompatybilności elektromagnetycznej oraz sposobu jej oznakowania (Dz. U. nr 265 poz. 2227 z 2005 r.), a w przypadku urządzeń posiadających telekomunikacyjne urządzenia końcowe i urządzenia radiowe muszą spełniać Rozporządzenie Ministra Infrastruktury z 15. kwietnia 2004 r. (Dz. U. 2004 r. Nr 73 poz. 659 z późn. zm.) i Prawo Telekomunikacyjne (Dz. U. 2004 r., Nr 171 poz. 1800 z późn. zm.).</w:t>
      </w:r>
    </w:p>
    <w:p w:rsidR="007E0865" w:rsidRPr="001259C1" w:rsidRDefault="007E0865" w:rsidP="008F388F">
      <w:pPr>
        <w:jc w:val="both"/>
      </w:pPr>
      <w:r w:rsidRPr="001259C1">
        <w:t>Innego typu  certyfikaty (np. ISO producenta sprzętu, ISV itp.) niezbędne są wówczas, gdy poniższa specyfikacja wyraźnie tego wymaga.</w:t>
      </w:r>
    </w:p>
    <w:p w:rsidR="007E0865" w:rsidRPr="001259C1" w:rsidRDefault="007E0865" w:rsidP="008F388F">
      <w:pPr>
        <w:jc w:val="both"/>
      </w:pPr>
      <w:r w:rsidRPr="001259C1">
        <w:t>Urządzenia i ich komponenty muszą być oznakowane przez producenta w taki sposób, aby możliwa była identyfikacja zarówno produktu jak i producenta.</w:t>
      </w:r>
    </w:p>
    <w:p w:rsidR="007E0865" w:rsidRPr="001259C1" w:rsidRDefault="007E0865" w:rsidP="008F388F">
      <w:pPr>
        <w:jc w:val="both"/>
      </w:pPr>
      <w:r w:rsidRPr="001259C1">
        <w:t>Urządzenia muszą pochodzić z legalnego kanału sprzedaży na terenie Unii Europejskiej a gwarancja musi pochodzić od producenta lub autoryzowanego przedstawiciela producenta i być świadczona przez sieć serwisową producenta na terenie Polski.</w:t>
      </w:r>
    </w:p>
    <w:p w:rsidR="007E0865" w:rsidRPr="001259C1" w:rsidRDefault="007E0865" w:rsidP="008F388F">
      <w:pPr>
        <w:jc w:val="both"/>
      </w:pPr>
      <w:r w:rsidRPr="001259C1">
        <w:t xml:space="preserve">Urządzenia muszą być dostarczone Zamawiającemu w oryginalnych opakowaniach fabrycznych. </w:t>
      </w:r>
    </w:p>
    <w:p w:rsidR="007E0865" w:rsidRPr="001259C1" w:rsidRDefault="007E0865" w:rsidP="008F388F">
      <w:pPr>
        <w:jc w:val="both"/>
      </w:pPr>
      <w:r w:rsidRPr="001259C1">
        <w:t>Do każdego urządzenia musi być dostarczony komplet standardowej dokumentacji w formie papierowej lub elektronicznej.</w:t>
      </w:r>
    </w:p>
    <w:p w:rsidR="007E0865" w:rsidRPr="001259C1" w:rsidRDefault="007E0865" w:rsidP="008F388F">
      <w:pPr>
        <w:jc w:val="both"/>
      </w:pPr>
      <w:r w:rsidRPr="001259C1">
        <w:t xml:space="preserve">Sprzęt dodatkowy, akcesoria i oprogramowanie w ramach wyspecyfikowanych niżej </w:t>
      </w:r>
      <w:r w:rsidR="004A3BF9" w:rsidRPr="001259C1">
        <w:t>zestawów</w:t>
      </w:r>
      <w:r w:rsidRPr="001259C1">
        <w:t xml:space="preserve"> powinien być dedykowany lub w 100% kompatybilny w stosunku do </w:t>
      </w:r>
      <w:r w:rsidR="00010D67" w:rsidRPr="001259C1">
        <w:t>urządzeń głównych (przykład – lustrzanka cyfrowa jako urządzenie główne, obiektywy jako sprzęt dodatkowy)</w:t>
      </w:r>
      <w:r w:rsidRPr="001259C1">
        <w:t>.</w:t>
      </w:r>
    </w:p>
    <w:p w:rsidR="005E397C" w:rsidRPr="001259C1" w:rsidRDefault="005E397C" w:rsidP="008F388F">
      <w:pPr>
        <w:jc w:val="both"/>
      </w:pPr>
      <w:r w:rsidRPr="001259C1">
        <w:t>Wszystkie przywołane w niniejszej dokumentacji nazwy własne urządzeń i oprogramowania są przykładowe i służą jedynie jako odniesienie do wskazania istniejącego określonego standardu rynkowego.</w:t>
      </w:r>
    </w:p>
    <w:p w:rsidR="007E0865" w:rsidRPr="001259C1" w:rsidRDefault="005E397C" w:rsidP="008F388F">
      <w:pPr>
        <w:jc w:val="both"/>
      </w:pPr>
      <w:r w:rsidRPr="001259C1">
        <w:lastRenderedPageBreak/>
        <w:t>Kryteria równoważności:</w:t>
      </w:r>
      <w:r w:rsidR="007E0865" w:rsidRPr="001259C1">
        <w:t xml:space="preserve"> </w:t>
      </w:r>
      <w:r w:rsidRPr="001259C1">
        <w:t>w</w:t>
      </w:r>
      <w:r w:rsidR="007E0865" w:rsidRPr="001259C1">
        <w:t xml:space="preserve"> przypadku gdy Zamawiający dopuszcza w niniejszej specyfikacji technicznej oferowanie produktów równoważnych rozumie przez to produkty które mają te same cechy funkcjonalne, co wskazany w SIWZ konkretny z nazwy lub pochodzenia produkt, których jakość nie może być gorsza od jakości określonego w specyfikacji produktu. </w:t>
      </w:r>
      <w:r w:rsidR="007E0865" w:rsidRPr="001259C1">
        <w:rPr>
          <w:rFonts w:cs="Arial"/>
        </w:rPr>
        <w:t>Z</w:t>
      </w:r>
      <w:r w:rsidR="007E0865" w:rsidRPr="001259C1">
        <w:rPr>
          <w:rFonts w:ascii="Calibri" w:eastAsia="Calibri" w:hAnsi="Calibri" w:cs="Arial"/>
        </w:rPr>
        <w:t xml:space="preserve">a  równoważne   przyjmuje   się </w:t>
      </w:r>
      <w:r w:rsidR="007E0865" w:rsidRPr="001259C1">
        <w:rPr>
          <w:rFonts w:cs="Arial"/>
        </w:rPr>
        <w:t xml:space="preserve">sprzęt lub </w:t>
      </w:r>
      <w:r w:rsidR="007E0865" w:rsidRPr="001259C1">
        <w:rPr>
          <w:rFonts w:ascii="Calibri" w:eastAsia="Calibri" w:hAnsi="Calibri" w:cs="Arial"/>
        </w:rPr>
        <w:t xml:space="preserve">oprogramowanie  spełniające  wszystkie  funkcje,  zgodnie  z  dokumentacją techniczną programów wskazanych przez Zamawiającego, jako standard. W przypadku  zaoferowania  </w:t>
      </w:r>
      <w:r w:rsidR="007E0865" w:rsidRPr="001259C1">
        <w:rPr>
          <w:rFonts w:cs="Arial"/>
        </w:rPr>
        <w:t xml:space="preserve">sprzętu lub </w:t>
      </w:r>
      <w:r w:rsidR="007E0865" w:rsidRPr="001259C1">
        <w:rPr>
          <w:rFonts w:ascii="Calibri" w:eastAsia="Calibri" w:hAnsi="Calibri" w:cs="Arial"/>
        </w:rPr>
        <w:t>oprogramowania  równoważnego,  na  Wykonawcy spoczywa obowiązek udowodnienia zachowania cech określonych powyżej.</w:t>
      </w:r>
      <w:r w:rsidR="007E0865" w:rsidRPr="001259C1">
        <w:rPr>
          <w:rFonts w:cs="Arial"/>
        </w:rPr>
        <w:t xml:space="preserve"> </w:t>
      </w:r>
      <w:r w:rsidR="007E0865" w:rsidRPr="001259C1">
        <w:rPr>
          <w:rFonts w:ascii="Calibri" w:eastAsia="Calibri" w:hAnsi="Calibri" w:cs="Arial"/>
        </w:rPr>
        <w:t>W  przeprowadzonym  dowodzie  należy  odnieść  się  do  norm,  parametrów oraz  standardów  i  dokonać  porównania  z</w:t>
      </w:r>
      <w:r w:rsidR="007E0865" w:rsidRPr="001259C1">
        <w:rPr>
          <w:rFonts w:cs="Arial"/>
        </w:rPr>
        <w:t>e sprzętem lub</w:t>
      </w:r>
      <w:r w:rsidR="007E0865" w:rsidRPr="001259C1">
        <w:rPr>
          <w:rFonts w:ascii="Calibri" w:eastAsia="Calibri" w:hAnsi="Calibri" w:cs="Arial"/>
        </w:rPr>
        <w:t xml:space="preserve">  oprogramowaniem  wskazanym przez  Zamawiającego  jako  standard.  Z  porównania  musi  jednoznacznie wynikać, iż produkt oferowany jako równoważny jest identyczny lub lepszy od produktu wskazanego przez Zamawiającego.</w:t>
      </w:r>
    </w:p>
    <w:p w:rsidR="00CE14EF" w:rsidRPr="001259C1" w:rsidRDefault="007E0865" w:rsidP="008F388F">
      <w:pPr>
        <w:jc w:val="both"/>
      </w:pPr>
      <w:r w:rsidRPr="001259C1">
        <w:t xml:space="preserve">Jeżeli w poniższej specyfikacji nie określono inaczej wymagana jest co najmniej </w:t>
      </w:r>
      <w:r w:rsidR="00CC0410" w:rsidRPr="001259C1">
        <w:t xml:space="preserve">3 (trzy) </w:t>
      </w:r>
      <w:r w:rsidR="004A3BF9" w:rsidRPr="001259C1">
        <w:t>letnia</w:t>
      </w:r>
      <w:r w:rsidRPr="001259C1">
        <w:t xml:space="preserve"> gwarancja na </w:t>
      </w:r>
      <w:r w:rsidR="00CC0410" w:rsidRPr="001259C1">
        <w:t xml:space="preserve">stacje robocze oraz komputery sterujące oraz minimum 2 letnia gwarancja na monitory. Na pozostałe </w:t>
      </w:r>
      <w:r w:rsidRPr="001259C1">
        <w:t>zamawiane przedmioty</w:t>
      </w:r>
      <w:r w:rsidR="00CC0410" w:rsidRPr="001259C1">
        <w:t>, o ile Zamawiający nie wskazał wyraźnie inaczej w poniższej części OPZ wymagana jest gwarancja roczna</w:t>
      </w:r>
      <w:r w:rsidR="00CE14EF" w:rsidRPr="001259C1">
        <w:t>.</w:t>
      </w:r>
    </w:p>
    <w:p w:rsidR="007E0865" w:rsidRPr="001259C1" w:rsidRDefault="007E0865" w:rsidP="008F388F">
      <w:pPr>
        <w:jc w:val="both"/>
      </w:pPr>
      <w:r w:rsidRPr="001259C1">
        <w:t xml:space="preserve">Wszystkie dostarczane urządzenia zostaną oznakowane przez wykonawcę zgodnie z wytycznymi Instytucji Zarządzającej Regionalnym Programem Operacyjnym Województwa Kujawsko-Pomorskiego, które są dostępne na stronie </w:t>
      </w:r>
      <w:hyperlink r:id="rId7" w:history="1">
        <w:r w:rsidRPr="001259C1">
          <w:t>www.mojregion.eu</w:t>
        </w:r>
      </w:hyperlink>
      <w:r w:rsidRPr="001259C1">
        <w:t>  w dziale „</w:t>
      </w:r>
      <w:r w:rsidR="004A3BF9" w:rsidRPr="001259C1">
        <w:t>Poznaj zasady promowania projektu” (</w:t>
      </w:r>
      <w:hyperlink r:id="rId8" w:history="1">
        <w:r w:rsidR="004A3BF9" w:rsidRPr="001259C1">
          <w:rPr>
            <w:rStyle w:val="Hipercze"/>
            <w:color w:val="auto"/>
          </w:rPr>
          <w:t>http://www.mojregion.eu/index.php/rpo/poznaj-zasady</w:t>
        </w:r>
      </w:hyperlink>
      <w:r w:rsidR="004A3BF9" w:rsidRPr="001259C1">
        <w:t>) poprzez dostarczenie odpowiedniej ilości plakietek informacyjnych wskazujących źródło współfinansowania zakupu.</w:t>
      </w:r>
    </w:p>
    <w:p w:rsidR="009E682F" w:rsidRPr="009C2EA2" w:rsidRDefault="009E682F">
      <w:pPr>
        <w:rPr>
          <w:b/>
          <w:color w:val="FF0000"/>
        </w:rPr>
      </w:pPr>
      <w:r w:rsidRPr="009C2EA2">
        <w:rPr>
          <w:b/>
          <w:color w:val="FF0000"/>
        </w:rPr>
        <w:br w:type="page"/>
      </w:r>
    </w:p>
    <w:p w:rsidR="00205649" w:rsidRPr="00684F69" w:rsidRDefault="00205649" w:rsidP="008F0796">
      <w:pPr>
        <w:rPr>
          <w:b/>
        </w:rPr>
      </w:pPr>
      <w:r w:rsidRPr="00684F69">
        <w:rPr>
          <w:b/>
          <w:highlight w:val="green"/>
        </w:rPr>
        <w:lastRenderedPageBreak/>
        <w:t>Pakiet GALERIA SZTUKI WSPÓŁCZESNEJ we Włocławku</w:t>
      </w:r>
    </w:p>
    <w:p w:rsidR="00EC571A" w:rsidRPr="00684F69" w:rsidRDefault="00EC571A" w:rsidP="00EC571A">
      <w:pPr>
        <w:rPr>
          <w:b/>
        </w:rPr>
      </w:pPr>
      <w:r w:rsidRPr="00684F69">
        <w:rPr>
          <w:b/>
        </w:rPr>
        <w:t>Lustrzanka cyfrowa pełnoklatkowa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Element światłoczuły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CMOS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Rozmiar matrycy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36 x 24 mm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Liczba efektywnych pikseli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Powyżej 20 mln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Współczynnik proporcji obrazu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3:2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Sensor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Wynik benchmarku DxO przynajmniej 82 pkt (sensor overall) wynik dostępny na stronie https://www.dxomark.com/category/camera-reviews/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Filtr dolnoprzepustowy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wbudowany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Mnożnik ogniskowej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1x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Format zapisu zdjęć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RAW, JPEG z obsługą EXIF, RAW+JPEG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Format zapisu wideo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MOV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Obsługiwane kodeki wideo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H.264, audio – linear PCM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Zdjęcia seryjne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Powyżej 4  kl/s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Rozdzielczość maks. zdjęć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5472x3648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Rozdzielczość maks. filmów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 xml:space="preserve">1930x1080 @30p, 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Obsługiwane nośniki pamięci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SD, SDHC, SDXC (zgodne z UHS-1)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Złącza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USB 2.0, wyjście HDMI mini (typ C), wejście mikrofonu zewnętrznego, wyjście wideo (PAL/NTSC)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Regulacja ostrości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Autofocus (11 punktów krzyżowych lub więcej), manualnie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Czułość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100-25600 (rozszerzalna 50 - 102400)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Tryby pomiaru ekspozycji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 xml:space="preserve">Wielosegmentowy, skupiony,  punktowy, centralnie ważony 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Korekcja ekspozycji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+/-5 EV z przyrostem co 1/3 lub 1/2 stopnia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Typ migawki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 xml:space="preserve">Sterowana elektronicznie szczelinowa  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Szybkość migawki</w:t>
            </w:r>
          </w:p>
        </w:tc>
        <w:tc>
          <w:tcPr>
            <w:tcW w:w="5740" w:type="dxa"/>
          </w:tcPr>
          <w:p w:rsidR="00EC571A" w:rsidRPr="00684F69" w:rsidRDefault="00EC571A" w:rsidP="00F4480C">
            <w:r w:rsidRPr="00684F69">
              <w:t>1/</w:t>
            </w:r>
            <w:r w:rsidR="00F4480C" w:rsidRPr="00684F69">
              <w:t>4</w:t>
            </w:r>
            <w:r w:rsidRPr="00684F69">
              <w:t>000 s - 30 s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Balans bieli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Automatyczny balans bieli, światło dzienne, miejsca ocienione, pochmurny dzień, światło żarówek, białe światło</w:t>
            </w:r>
          </w:p>
          <w:p w:rsidR="00EC571A" w:rsidRPr="00684F69" w:rsidRDefault="00EC571A" w:rsidP="00EC571A">
            <w:r w:rsidRPr="00684F69">
              <w:t>światło fluorescencyjne, lampa błyskowa, nastawa własna, ustawienie temperatury barwowej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Wizjer</w:t>
            </w:r>
          </w:p>
        </w:tc>
        <w:tc>
          <w:tcPr>
            <w:tcW w:w="5740" w:type="dxa"/>
          </w:tcPr>
          <w:p w:rsidR="00EC571A" w:rsidRPr="00684F69" w:rsidRDefault="00EC571A" w:rsidP="00F4480C">
            <w:r w:rsidRPr="00684F69">
              <w:t>Pryzmat pentagonalny, o polu widzenia ok. 9</w:t>
            </w:r>
            <w:r w:rsidR="00F4480C" w:rsidRPr="00684F69">
              <w:t>7</w:t>
            </w:r>
            <w:r w:rsidRPr="00684F69">
              <w:t>%, powiększenie ok. 0,</w:t>
            </w:r>
            <w:r w:rsidR="00F4480C" w:rsidRPr="00684F69">
              <w:t>71</w:t>
            </w:r>
            <w:r w:rsidRPr="00684F69">
              <w:t xml:space="preserve"> 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Wyświetlacz LCD</w:t>
            </w:r>
          </w:p>
        </w:tc>
        <w:tc>
          <w:tcPr>
            <w:tcW w:w="5740" w:type="dxa"/>
          </w:tcPr>
          <w:p w:rsidR="00EC571A" w:rsidRPr="00684F69" w:rsidRDefault="00EC571A" w:rsidP="00892364">
            <w:r w:rsidRPr="00684F69">
              <w:t>Odchylany, przekątna min. 3</w:t>
            </w:r>
            <w:r w:rsidR="00892364" w:rsidRPr="00684F69">
              <w:t>”</w:t>
            </w:r>
            <w:r w:rsidRPr="00684F69">
              <w:t xml:space="preserve">, rozdzielczość powyżej </w:t>
            </w:r>
            <w:r w:rsidR="00892364" w:rsidRPr="00684F69">
              <w:t>1</w:t>
            </w:r>
            <w:r w:rsidRPr="00684F69">
              <w:t xml:space="preserve"> mln punktów, kąty patrzenia min. 170/170, tryb LiveView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Lampa błyskowa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Wbudowana, Hot shoe/ PC</w:t>
            </w:r>
          </w:p>
        </w:tc>
      </w:tr>
      <w:tr w:rsidR="009C2EA2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Język obsługi menu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Wiele języków z uwzględnieniem j. polskiego</w:t>
            </w:r>
          </w:p>
        </w:tc>
      </w:tr>
      <w:tr w:rsidR="00EC571A" w:rsidRPr="00684F69" w:rsidTr="00EC571A">
        <w:tc>
          <w:tcPr>
            <w:tcW w:w="3472" w:type="dxa"/>
          </w:tcPr>
          <w:p w:rsidR="00EC571A" w:rsidRPr="00684F69" w:rsidRDefault="00EC571A" w:rsidP="00EC571A">
            <w:r w:rsidRPr="00684F69">
              <w:t>Wyposażenie</w:t>
            </w:r>
          </w:p>
        </w:tc>
        <w:tc>
          <w:tcPr>
            <w:tcW w:w="5740" w:type="dxa"/>
          </w:tcPr>
          <w:p w:rsidR="00EC571A" w:rsidRPr="00684F69" w:rsidRDefault="00EC571A" w:rsidP="00EC571A">
            <w:r w:rsidRPr="00684F69">
              <w:t>Akumulator, ładowarka, kabel przyłączeniowy do komputera, oprogramowanie na płycie CD, karta pamięci 64GB z przepływnością 90MB/s, futerał wodoodporny</w:t>
            </w:r>
          </w:p>
        </w:tc>
      </w:tr>
    </w:tbl>
    <w:p w:rsidR="00EC571A" w:rsidRPr="00684F69" w:rsidRDefault="00EC571A" w:rsidP="0017750D">
      <w:pPr>
        <w:rPr>
          <w:b/>
          <w:highlight w:val="yellow"/>
        </w:rPr>
      </w:pPr>
    </w:p>
    <w:p w:rsidR="0017750D" w:rsidRPr="00684F69" w:rsidRDefault="0017750D" w:rsidP="0017750D">
      <w:pPr>
        <w:rPr>
          <w:b/>
        </w:rPr>
      </w:pPr>
      <w:r w:rsidRPr="00684F69">
        <w:rPr>
          <w:b/>
        </w:rPr>
        <w:t>Obiektyw do lustrzanki pełnoklatkowej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Mocowanie</w:t>
            </w:r>
          </w:p>
        </w:tc>
        <w:tc>
          <w:tcPr>
            <w:tcW w:w="5740" w:type="dxa"/>
          </w:tcPr>
          <w:p w:rsidR="0017750D" w:rsidRPr="00684F69" w:rsidRDefault="0017750D" w:rsidP="00874AFE">
            <w:r w:rsidRPr="00684F69">
              <w:t>Zgodne z urządzeniem głównym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Typ</w:t>
            </w:r>
          </w:p>
        </w:tc>
        <w:tc>
          <w:tcPr>
            <w:tcW w:w="5740" w:type="dxa"/>
          </w:tcPr>
          <w:p w:rsidR="0017750D" w:rsidRPr="00684F69" w:rsidRDefault="0017750D" w:rsidP="00874AFE">
            <w:r w:rsidRPr="00684F69">
              <w:t>Zmiennoogniskowy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Ogniskowa, światło</w:t>
            </w:r>
          </w:p>
        </w:tc>
        <w:tc>
          <w:tcPr>
            <w:tcW w:w="5740" w:type="dxa"/>
          </w:tcPr>
          <w:p w:rsidR="0017750D" w:rsidRPr="00684F69" w:rsidRDefault="0017750D" w:rsidP="0074263B">
            <w:r w:rsidRPr="00684F69">
              <w:t>24-</w:t>
            </w:r>
            <w:r w:rsidR="0074263B" w:rsidRPr="00684F69">
              <w:t>70 mm F/</w:t>
            </w:r>
            <w:r w:rsidRPr="00684F69">
              <w:t>2,8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Minimalna odległość ogniskowania</w:t>
            </w:r>
          </w:p>
        </w:tc>
        <w:tc>
          <w:tcPr>
            <w:tcW w:w="5740" w:type="dxa"/>
          </w:tcPr>
          <w:p w:rsidR="0017750D" w:rsidRPr="00684F69" w:rsidRDefault="0017750D" w:rsidP="00874AFE">
            <w:r w:rsidRPr="00684F69">
              <w:t>0,38 m przy całym zakresie ogniskowej</w:t>
            </w:r>
          </w:p>
        </w:tc>
      </w:tr>
      <w:tr w:rsidR="009C2EA2" w:rsidRPr="00684F69" w:rsidTr="00D9380F">
        <w:tc>
          <w:tcPr>
            <w:tcW w:w="3472" w:type="dxa"/>
          </w:tcPr>
          <w:p w:rsidR="00EF4687" w:rsidRPr="00684F69" w:rsidRDefault="00EF4687" w:rsidP="00D9380F">
            <w:r w:rsidRPr="00684F69">
              <w:lastRenderedPageBreak/>
              <w:t>Wyposażenie</w:t>
            </w:r>
          </w:p>
        </w:tc>
        <w:tc>
          <w:tcPr>
            <w:tcW w:w="5740" w:type="dxa"/>
          </w:tcPr>
          <w:p w:rsidR="00EF4687" w:rsidRPr="00684F69" w:rsidRDefault="00EF4687" w:rsidP="00D9380F">
            <w:r w:rsidRPr="00684F69">
              <w:t>Pokrywa, pokrowiec</w:t>
            </w:r>
          </w:p>
        </w:tc>
      </w:tr>
      <w:tr w:rsidR="0017750D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Cechy</w:t>
            </w:r>
          </w:p>
        </w:tc>
        <w:tc>
          <w:tcPr>
            <w:tcW w:w="5740" w:type="dxa"/>
          </w:tcPr>
          <w:p w:rsidR="0017750D" w:rsidRPr="00684F69" w:rsidRDefault="00B809A8" w:rsidP="00A557B0">
            <w:r w:rsidRPr="00684F69">
              <w:t xml:space="preserve">AF z silnikiem ultradźwiękowym, </w:t>
            </w:r>
            <w:r w:rsidR="00B54F5E" w:rsidRPr="00684F69">
              <w:t xml:space="preserve">optyka z elementami </w:t>
            </w:r>
            <w:r w:rsidR="00A557B0">
              <w:t xml:space="preserve"> o niskiej dyspersji, </w:t>
            </w:r>
            <w:r w:rsidR="00B54F5E" w:rsidRPr="00684F69">
              <w:t xml:space="preserve">asferycznymi, odporność na pył i wilgoć, </w:t>
            </w:r>
            <w:r w:rsidR="00A557B0">
              <w:t>stabilizacja 5 stopniowa</w:t>
            </w:r>
          </w:p>
        </w:tc>
      </w:tr>
    </w:tbl>
    <w:p w:rsidR="0017750D" w:rsidRPr="00684F69" w:rsidRDefault="0017750D" w:rsidP="0017750D">
      <w:pPr>
        <w:rPr>
          <w:b/>
          <w:highlight w:val="yellow"/>
        </w:rPr>
      </w:pPr>
    </w:p>
    <w:p w:rsidR="0017750D" w:rsidRPr="00684F69" w:rsidRDefault="0017750D" w:rsidP="0017750D">
      <w:pPr>
        <w:rPr>
          <w:b/>
        </w:rPr>
      </w:pPr>
      <w:r w:rsidRPr="00684F69">
        <w:rPr>
          <w:b/>
        </w:rPr>
        <w:t>Obiektyw do lustrzanki pełnoklatkowej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Mocowanie</w:t>
            </w:r>
          </w:p>
        </w:tc>
        <w:tc>
          <w:tcPr>
            <w:tcW w:w="5740" w:type="dxa"/>
          </w:tcPr>
          <w:p w:rsidR="0017750D" w:rsidRPr="00684F69" w:rsidRDefault="0017750D" w:rsidP="00874AFE">
            <w:r w:rsidRPr="00684F69">
              <w:t>Zgodne z urządzeniem głównym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Typ</w:t>
            </w:r>
          </w:p>
        </w:tc>
        <w:tc>
          <w:tcPr>
            <w:tcW w:w="5740" w:type="dxa"/>
          </w:tcPr>
          <w:p w:rsidR="0017750D" w:rsidRPr="00684F69" w:rsidRDefault="0017750D" w:rsidP="0074263B">
            <w:r w:rsidRPr="00684F69">
              <w:t>Stałoogniskowy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Ogniskowa, światło</w:t>
            </w:r>
          </w:p>
        </w:tc>
        <w:tc>
          <w:tcPr>
            <w:tcW w:w="5740" w:type="dxa"/>
          </w:tcPr>
          <w:p w:rsidR="0017750D" w:rsidRPr="00684F69" w:rsidRDefault="0074263B" w:rsidP="0074263B">
            <w:r w:rsidRPr="00684F69">
              <w:t>50 mm F/1,8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Minimalna odległość ogniskowania</w:t>
            </w:r>
          </w:p>
        </w:tc>
        <w:tc>
          <w:tcPr>
            <w:tcW w:w="5740" w:type="dxa"/>
          </w:tcPr>
          <w:p w:rsidR="0017750D" w:rsidRPr="00684F69" w:rsidRDefault="0017750D" w:rsidP="0074263B">
            <w:r w:rsidRPr="00684F69">
              <w:t>0,3</w:t>
            </w:r>
            <w:r w:rsidR="0074263B" w:rsidRPr="00684F69">
              <w:t>5</w:t>
            </w:r>
            <w:r w:rsidRPr="00684F69">
              <w:t xml:space="preserve"> m </w:t>
            </w:r>
          </w:p>
        </w:tc>
      </w:tr>
      <w:tr w:rsidR="009C2EA2" w:rsidRPr="00684F69" w:rsidTr="00874AFE">
        <w:tc>
          <w:tcPr>
            <w:tcW w:w="3472" w:type="dxa"/>
          </w:tcPr>
          <w:p w:rsidR="0017750D" w:rsidRPr="00684F69" w:rsidRDefault="0017750D" w:rsidP="00874AFE">
            <w:r w:rsidRPr="00684F69">
              <w:t>Cechy</w:t>
            </w:r>
          </w:p>
        </w:tc>
        <w:tc>
          <w:tcPr>
            <w:tcW w:w="5740" w:type="dxa"/>
          </w:tcPr>
          <w:p w:rsidR="0017750D" w:rsidRPr="00684F69" w:rsidRDefault="0017750D" w:rsidP="0074263B">
            <w:r w:rsidRPr="00684F69">
              <w:t xml:space="preserve">powłoka antyodblaskowa, AF z silnikiem </w:t>
            </w:r>
            <w:r w:rsidR="0074263B" w:rsidRPr="00684F69">
              <w:t>krokowym</w:t>
            </w:r>
            <w:r w:rsidRPr="00684F69">
              <w:t xml:space="preserve"> </w:t>
            </w:r>
          </w:p>
        </w:tc>
      </w:tr>
      <w:tr w:rsidR="009C2EA2" w:rsidRPr="00684F69" w:rsidTr="00874AFE">
        <w:tc>
          <w:tcPr>
            <w:tcW w:w="3472" w:type="dxa"/>
          </w:tcPr>
          <w:p w:rsidR="0074263B" w:rsidRPr="00684F69" w:rsidRDefault="0074263B" w:rsidP="00874AFE">
            <w:r w:rsidRPr="00684F69">
              <w:t>Wyposażenie</w:t>
            </w:r>
          </w:p>
        </w:tc>
        <w:tc>
          <w:tcPr>
            <w:tcW w:w="5740" w:type="dxa"/>
          </w:tcPr>
          <w:p w:rsidR="0074263B" w:rsidRPr="00684F69" w:rsidRDefault="0074263B" w:rsidP="0074263B">
            <w:r w:rsidRPr="00684F69">
              <w:t>Pokrywa, pokrowiec</w:t>
            </w:r>
          </w:p>
        </w:tc>
      </w:tr>
    </w:tbl>
    <w:p w:rsidR="0017750D" w:rsidRPr="00684F69" w:rsidRDefault="0017750D" w:rsidP="0017750D">
      <w:pPr>
        <w:rPr>
          <w:b/>
          <w:highlight w:val="yellow"/>
        </w:rPr>
      </w:pPr>
    </w:p>
    <w:p w:rsidR="000B6C73" w:rsidRPr="00684F69" w:rsidRDefault="000B6C73" w:rsidP="000B6C73">
      <w:pPr>
        <w:rPr>
          <w:b/>
        </w:rPr>
      </w:pPr>
      <w:r w:rsidRPr="00684F69">
        <w:rPr>
          <w:b/>
        </w:rPr>
        <w:t>Obiektyw do lustrzanki pełnoklatkowej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D9380F">
        <w:tc>
          <w:tcPr>
            <w:tcW w:w="3472" w:type="dxa"/>
          </w:tcPr>
          <w:p w:rsidR="000B6C73" w:rsidRPr="00684F69" w:rsidRDefault="000B6C73" w:rsidP="00D9380F">
            <w:r w:rsidRPr="00684F69">
              <w:t>Mocowanie</w:t>
            </w:r>
          </w:p>
        </w:tc>
        <w:tc>
          <w:tcPr>
            <w:tcW w:w="5740" w:type="dxa"/>
          </w:tcPr>
          <w:p w:rsidR="000B6C73" w:rsidRPr="00684F69" w:rsidRDefault="000B6C73" w:rsidP="00D9380F">
            <w:r w:rsidRPr="00684F69">
              <w:t>Zgodne z urządzeniem głównym</w:t>
            </w:r>
          </w:p>
        </w:tc>
      </w:tr>
      <w:tr w:rsidR="009C2EA2" w:rsidRPr="00684F69" w:rsidTr="00D9380F">
        <w:tc>
          <w:tcPr>
            <w:tcW w:w="3472" w:type="dxa"/>
          </w:tcPr>
          <w:p w:rsidR="000B6C73" w:rsidRPr="00684F69" w:rsidRDefault="000B6C73" w:rsidP="00D9380F">
            <w:r w:rsidRPr="00684F69">
              <w:t>Typ</w:t>
            </w:r>
          </w:p>
        </w:tc>
        <w:tc>
          <w:tcPr>
            <w:tcW w:w="5740" w:type="dxa"/>
          </w:tcPr>
          <w:p w:rsidR="000B6C73" w:rsidRPr="00684F69" w:rsidRDefault="000B6C73" w:rsidP="00D9380F">
            <w:r w:rsidRPr="00684F69">
              <w:t>Stałoogniskowy, makro</w:t>
            </w:r>
          </w:p>
        </w:tc>
      </w:tr>
      <w:tr w:rsidR="009C2EA2" w:rsidRPr="00684F69" w:rsidTr="00D9380F">
        <w:tc>
          <w:tcPr>
            <w:tcW w:w="3472" w:type="dxa"/>
          </w:tcPr>
          <w:p w:rsidR="000B6C73" w:rsidRPr="00684F69" w:rsidRDefault="000B6C73" w:rsidP="00D9380F">
            <w:r w:rsidRPr="00684F69">
              <w:t>Ogniskowa, światło</w:t>
            </w:r>
          </w:p>
        </w:tc>
        <w:tc>
          <w:tcPr>
            <w:tcW w:w="5740" w:type="dxa"/>
          </w:tcPr>
          <w:p w:rsidR="000B6C73" w:rsidRPr="00684F69" w:rsidRDefault="000B6C73" w:rsidP="000B6C73">
            <w:r w:rsidRPr="00684F69">
              <w:t>100 mm F/2,8</w:t>
            </w:r>
          </w:p>
        </w:tc>
      </w:tr>
      <w:tr w:rsidR="009C2EA2" w:rsidRPr="00684F69" w:rsidTr="00D9380F">
        <w:tc>
          <w:tcPr>
            <w:tcW w:w="3472" w:type="dxa"/>
          </w:tcPr>
          <w:p w:rsidR="000B6C73" w:rsidRPr="00684F69" w:rsidRDefault="000B6C73" w:rsidP="00D9380F">
            <w:r w:rsidRPr="00684F69">
              <w:t>Minimalna odległość ogniskowania</w:t>
            </w:r>
          </w:p>
        </w:tc>
        <w:tc>
          <w:tcPr>
            <w:tcW w:w="5740" w:type="dxa"/>
          </w:tcPr>
          <w:p w:rsidR="000B6C73" w:rsidRPr="00684F69" w:rsidRDefault="000B6C73" w:rsidP="000B6C73">
            <w:r w:rsidRPr="00684F69">
              <w:t xml:space="preserve">0,31 m </w:t>
            </w:r>
          </w:p>
        </w:tc>
      </w:tr>
      <w:tr w:rsidR="009C2EA2" w:rsidRPr="00684F69" w:rsidTr="00D9380F">
        <w:tc>
          <w:tcPr>
            <w:tcW w:w="3472" w:type="dxa"/>
          </w:tcPr>
          <w:p w:rsidR="000B6C73" w:rsidRPr="00684F69" w:rsidRDefault="000B6C73" w:rsidP="00D9380F">
            <w:r w:rsidRPr="00684F69">
              <w:t>Cechy</w:t>
            </w:r>
          </w:p>
        </w:tc>
        <w:tc>
          <w:tcPr>
            <w:tcW w:w="5740" w:type="dxa"/>
          </w:tcPr>
          <w:p w:rsidR="000B6C73" w:rsidRPr="00684F69" w:rsidRDefault="000B6C73" w:rsidP="00D9380F">
            <w:r w:rsidRPr="00684F69">
              <w:t>skala odwzorowania 1:1, elementy optyczne o ultraniskiej dyspersji, powłoka antyodblaskowa, Autofokus z pierścieniowym silnikiem ultradźwiękowym, AF z ogranicznikiem</w:t>
            </w:r>
          </w:p>
        </w:tc>
      </w:tr>
      <w:tr w:rsidR="000B6C73" w:rsidRPr="00684F69" w:rsidTr="00D9380F">
        <w:tc>
          <w:tcPr>
            <w:tcW w:w="3472" w:type="dxa"/>
          </w:tcPr>
          <w:p w:rsidR="000B6C73" w:rsidRPr="00684F69" w:rsidRDefault="000B6C73" w:rsidP="00D9380F">
            <w:r w:rsidRPr="00684F69">
              <w:t>Wyposażenie</w:t>
            </w:r>
          </w:p>
        </w:tc>
        <w:tc>
          <w:tcPr>
            <w:tcW w:w="5740" w:type="dxa"/>
          </w:tcPr>
          <w:p w:rsidR="000B6C73" w:rsidRPr="00684F69" w:rsidRDefault="000B6C73" w:rsidP="00D9380F">
            <w:r w:rsidRPr="00684F69">
              <w:t>Pokrywa, pokrowiec</w:t>
            </w:r>
          </w:p>
        </w:tc>
      </w:tr>
    </w:tbl>
    <w:p w:rsidR="000B6C73" w:rsidRPr="00684F69" w:rsidRDefault="000B6C73" w:rsidP="0017750D">
      <w:pPr>
        <w:rPr>
          <w:b/>
          <w:highlight w:val="yellow"/>
        </w:rPr>
      </w:pPr>
    </w:p>
    <w:p w:rsidR="00BA7954" w:rsidRPr="00684F69" w:rsidRDefault="00BA7954" w:rsidP="00BA7954">
      <w:pPr>
        <w:rPr>
          <w:b/>
        </w:rPr>
      </w:pPr>
      <w:r w:rsidRPr="00684F69">
        <w:rPr>
          <w:b/>
        </w:rPr>
        <w:t>Statyw do lustrzanki pełnoklatkowej 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Materiał:</w:t>
            </w:r>
          </w:p>
        </w:tc>
        <w:tc>
          <w:tcPr>
            <w:tcW w:w="5740" w:type="dxa"/>
          </w:tcPr>
          <w:p w:rsidR="00BA7954" w:rsidRPr="00684F69" w:rsidRDefault="00BA7954" w:rsidP="00874AFE">
            <w:r w:rsidRPr="00684F69">
              <w:t>aluminium</w:t>
            </w:r>
          </w:p>
          <w:p w:rsidR="00BA7954" w:rsidRPr="00684F69" w:rsidRDefault="00BA7954" w:rsidP="00874AFE">
            <w:pPr>
              <w:rPr>
                <w:b/>
              </w:rPr>
            </w:pP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Minimalna wysokość:</w:t>
            </w:r>
          </w:p>
        </w:tc>
        <w:tc>
          <w:tcPr>
            <w:tcW w:w="5740" w:type="dxa"/>
          </w:tcPr>
          <w:p w:rsidR="00BA7954" w:rsidRPr="00684F69" w:rsidRDefault="001C2A80" w:rsidP="00874AFE">
            <w:pPr>
              <w:rPr>
                <w:b/>
              </w:rPr>
            </w:pPr>
            <w:r w:rsidRPr="00684F69">
              <w:t xml:space="preserve">8 </w:t>
            </w:r>
            <w:r w:rsidR="00BA7954" w:rsidRPr="00684F69">
              <w:t>cm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Wysokość maksymalna:</w:t>
            </w:r>
          </w:p>
        </w:tc>
        <w:tc>
          <w:tcPr>
            <w:tcW w:w="5740" w:type="dxa"/>
          </w:tcPr>
          <w:p w:rsidR="00BA7954" w:rsidRPr="00684F69" w:rsidRDefault="001C2A80" w:rsidP="00874AFE">
            <w:pPr>
              <w:rPr>
                <w:b/>
              </w:rPr>
            </w:pPr>
            <w:r w:rsidRPr="00684F69">
              <w:t xml:space="preserve">160 </w:t>
            </w:r>
            <w:r w:rsidR="00BA7954" w:rsidRPr="00684F69">
              <w:t>cm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Długość statywu po złożeniu:</w:t>
            </w:r>
          </w:p>
        </w:tc>
        <w:tc>
          <w:tcPr>
            <w:tcW w:w="5740" w:type="dxa"/>
          </w:tcPr>
          <w:p w:rsidR="00BA7954" w:rsidRPr="00684F69" w:rsidRDefault="00BA7954" w:rsidP="001C2A80">
            <w:pPr>
              <w:rPr>
                <w:b/>
              </w:rPr>
            </w:pPr>
            <w:r w:rsidRPr="00684F69">
              <w:t xml:space="preserve">max. </w:t>
            </w:r>
            <w:r w:rsidR="001C2A80" w:rsidRPr="00684F69">
              <w:t xml:space="preserve">65 </w:t>
            </w:r>
            <w:r w:rsidRPr="00684F69">
              <w:t>cm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r w:rsidRPr="00684F69">
              <w:t xml:space="preserve">Waga: </w:t>
            </w:r>
          </w:p>
        </w:tc>
        <w:tc>
          <w:tcPr>
            <w:tcW w:w="5740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poniżej 2,5 kg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Ilość sekcji:</w:t>
            </w:r>
          </w:p>
        </w:tc>
        <w:tc>
          <w:tcPr>
            <w:tcW w:w="5740" w:type="dxa"/>
          </w:tcPr>
          <w:p w:rsidR="00BA7954" w:rsidRPr="00684F69" w:rsidRDefault="001C2A80" w:rsidP="00874AFE">
            <w:r w:rsidRPr="00684F69">
              <w:t>4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pPr>
              <w:rPr>
                <w:b/>
              </w:rPr>
            </w:pPr>
            <w:r w:rsidRPr="00684F69">
              <w:t>Udźwig:</w:t>
            </w:r>
          </w:p>
        </w:tc>
        <w:tc>
          <w:tcPr>
            <w:tcW w:w="5740" w:type="dxa"/>
          </w:tcPr>
          <w:p w:rsidR="00BA7954" w:rsidRPr="00684F69" w:rsidRDefault="001C2A80" w:rsidP="00874AFE">
            <w:pPr>
              <w:rPr>
                <w:b/>
              </w:rPr>
            </w:pPr>
            <w:r w:rsidRPr="00684F69">
              <w:t xml:space="preserve">Przynajmniej 7 </w:t>
            </w:r>
            <w:r w:rsidR="00BA7954" w:rsidRPr="00684F69">
              <w:t>kg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r w:rsidRPr="00684F69">
              <w:t>Głowica:</w:t>
            </w:r>
          </w:p>
        </w:tc>
        <w:tc>
          <w:tcPr>
            <w:tcW w:w="5740" w:type="dxa"/>
          </w:tcPr>
          <w:p w:rsidR="00BA7954" w:rsidRPr="00684F69" w:rsidRDefault="00BA7954" w:rsidP="001C2A80">
            <w:r w:rsidRPr="00684F69">
              <w:t xml:space="preserve">Tak, </w:t>
            </w:r>
            <w:r w:rsidR="001C2A80" w:rsidRPr="00684F69">
              <w:t>3 kierunkowa, płytka 200PL, aluminium</w:t>
            </w:r>
          </w:p>
        </w:tc>
      </w:tr>
      <w:tr w:rsidR="00BA7954" w:rsidRPr="00684F69" w:rsidTr="00874AFE">
        <w:tc>
          <w:tcPr>
            <w:tcW w:w="3472" w:type="dxa"/>
          </w:tcPr>
          <w:p w:rsidR="00BA7954" w:rsidRPr="00684F69" w:rsidRDefault="00BA7954" w:rsidP="00874AFE">
            <w:r w:rsidRPr="00684F69">
              <w:t>Cechy dodatkowe</w:t>
            </w:r>
          </w:p>
        </w:tc>
        <w:tc>
          <w:tcPr>
            <w:tcW w:w="5740" w:type="dxa"/>
          </w:tcPr>
          <w:p w:rsidR="00BA7954" w:rsidRPr="00684F69" w:rsidRDefault="001C2A80" w:rsidP="00874AFE">
            <w:r w:rsidRPr="00684F69">
              <w:t>Kolumna centralna  z możliwością przełożenia do pozycji poziomej oraz obrotu o 180 stopni, uchwyt do mocowania akcesoriów, poziomica</w:t>
            </w:r>
          </w:p>
        </w:tc>
      </w:tr>
    </w:tbl>
    <w:p w:rsidR="00384858" w:rsidRPr="00684F69" w:rsidRDefault="00384858" w:rsidP="00BA7954">
      <w:pPr>
        <w:rPr>
          <w:b/>
        </w:rPr>
      </w:pPr>
    </w:p>
    <w:p w:rsidR="008141D9" w:rsidRPr="00684F69" w:rsidRDefault="008141D9" w:rsidP="008141D9">
      <w:pPr>
        <w:rPr>
          <w:b/>
        </w:rPr>
      </w:pPr>
      <w:r w:rsidRPr="00684F69">
        <w:rPr>
          <w:b/>
        </w:rPr>
        <w:t>Lampa błyskowa do lustrzanki pełnoklatkowej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t>Mocowanie</w:t>
            </w:r>
          </w:p>
        </w:tc>
        <w:tc>
          <w:tcPr>
            <w:tcW w:w="5740" w:type="dxa"/>
          </w:tcPr>
          <w:p w:rsidR="008141D9" w:rsidRPr="00684F69" w:rsidRDefault="008141D9" w:rsidP="00D9380F">
            <w:r w:rsidRPr="00684F69">
              <w:t>Zgodne z urządzeniem głównym</w:t>
            </w:r>
          </w:p>
        </w:tc>
      </w:tr>
      <w:tr w:rsidR="009C2EA2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t>Liczba przewodnia dla ISO 100</w:t>
            </w:r>
          </w:p>
        </w:tc>
        <w:tc>
          <w:tcPr>
            <w:tcW w:w="5740" w:type="dxa"/>
          </w:tcPr>
          <w:p w:rsidR="008141D9" w:rsidRPr="00684F69" w:rsidRDefault="008141D9" w:rsidP="008141D9">
            <w:r w:rsidRPr="00684F69">
              <w:t>43 (dla ogniskowej 105 mm)</w:t>
            </w:r>
          </w:p>
        </w:tc>
      </w:tr>
      <w:tr w:rsidR="009C2EA2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lastRenderedPageBreak/>
              <w:t>Obsługiwane tryby pracy</w:t>
            </w:r>
          </w:p>
        </w:tc>
        <w:tc>
          <w:tcPr>
            <w:tcW w:w="5740" w:type="dxa"/>
          </w:tcPr>
          <w:p w:rsidR="008141D9" w:rsidRPr="00684F69" w:rsidRDefault="008141D9" w:rsidP="00D9380F">
            <w:r w:rsidRPr="00684F69">
              <w:t>E-TTLII/E-TTL; Tryb manualny</w:t>
            </w:r>
          </w:p>
        </w:tc>
      </w:tr>
      <w:tr w:rsidR="009C2EA2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t>Czas ładowania</w:t>
            </w:r>
          </w:p>
        </w:tc>
        <w:tc>
          <w:tcPr>
            <w:tcW w:w="5740" w:type="dxa"/>
          </w:tcPr>
          <w:p w:rsidR="008141D9" w:rsidRPr="00684F69" w:rsidRDefault="008141D9" w:rsidP="00D9380F">
            <w:r w:rsidRPr="00684F69">
              <w:t>maksymalnie 3,5 sek.</w:t>
            </w:r>
          </w:p>
        </w:tc>
      </w:tr>
      <w:tr w:rsidR="009C2EA2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t>Zasilanie</w:t>
            </w:r>
          </w:p>
        </w:tc>
        <w:tc>
          <w:tcPr>
            <w:tcW w:w="5740" w:type="dxa"/>
          </w:tcPr>
          <w:p w:rsidR="008141D9" w:rsidRPr="00684F69" w:rsidRDefault="008141D9" w:rsidP="00D9380F">
            <w:r w:rsidRPr="00684F69">
              <w:t>Baterie AA</w:t>
            </w:r>
          </w:p>
        </w:tc>
      </w:tr>
      <w:tr w:rsidR="009C2EA2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t>Cechy</w:t>
            </w:r>
          </w:p>
        </w:tc>
        <w:tc>
          <w:tcPr>
            <w:tcW w:w="5740" w:type="dxa"/>
          </w:tcPr>
          <w:p w:rsidR="008141D9" w:rsidRPr="00684F69" w:rsidRDefault="008141D9" w:rsidP="00D9380F">
            <w:r w:rsidRPr="00684F69">
              <w:t>Obracany i uchylny reflektor, wyświetlacz LCD, Synchronizacja z krótkimi czasami (FP)</w:t>
            </w:r>
            <w:r w:rsidR="00F12482" w:rsidRPr="00684F69">
              <w:t>, obsługa bezprzewodowej transmisji radiowej</w:t>
            </w:r>
          </w:p>
        </w:tc>
      </w:tr>
      <w:tr w:rsidR="008141D9" w:rsidRPr="00684F69" w:rsidTr="00D9380F">
        <w:tc>
          <w:tcPr>
            <w:tcW w:w="3472" w:type="dxa"/>
          </w:tcPr>
          <w:p w:rsidR="008141D9" w:rsidRPr="00684F69" w:rsidRDefault="008141D9" w:rsidP="00D9380F">
            <w:r w:rsidRPr="00684F69">
              <w:t>Wyposażenie</w:t>
            </w:r>
          </w:p>
        </w:tc>
        <w:tc>
          <w:tcPr>
            <w:tcW w:w="5740" w:type="dxa"/>
          </w:tcPr>
          <w:p w:rsidR="008141D9" w:rsidRPr="00684F69" w:rsidRDefault="008141D9" w:rsidP="00D9380F">
            <w:r w:rsidRPr="00684F69">
              <w:t>Futerał, filtry kolorowe, adapter dyfuzora</w:t>
            </w:r>
          </w:p>
        </w:tc>
      </w:tr>
    </w:tbl>
    <w:p w:rsidR="008141D9" w:rsidRPr="00684F69" w:rsidRDefault="008141D9" w:rsidP="008141D9">
      <w:pPr>
        <w:rPr>
          <w:b/>
        </w:rPr>
      </w:pPr>
    </w:p>
    <w:p w:rsidR="00384858" w:rsidRPr="00684F69" w:rsidRDefault="00384858" w:rsidP="00384858">
      <w:pPr>
        <w:rPr>
          <w:b/>
        </w:rPr>
      </w:pPr>
      <w:r w:rsidRPr="00684F69">
        <w:rPr>
          <w:b/>
        </w:rPr>
        <w:t>Zestaw oświetlenia studyjnego – 1 szt.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EC571A">
        <w:tc>
          <w:tcPr>
            <w:tcW w:w="3472" w:type="dxa"/>
          </w:tcPr>
          <w:p w:rsidR="00384858" w:rsidRPr="00684F69" w:rsidRDefault="00384858" w:rsidP="00EC571A">
            <w:r w:rsidRPr="00684F69">
              <w:t>Zastosowanie</w:t>
            </w:r>
          </w:p>
        </w:tc>
        <w:tc>
          <w:tcPr>
            <w:tcW w:w="5740" w:type="dxa"/>
          </w:tcPr>
          <w:p w:rsidR="00384858" w:rsidRPr="00684F69" w:rsidRDefault="003E3A89" w:rsidP="00EC571A">
            <w:r w:rsidRPr="00684F69">
              <w:t>Fotografia studyjna,</w:t>
            </w:r>
            <w:r w:rsidR="00384858" w:rsidRPr="00684F69">
              <w:t xml:space="preserve"> fotografia Makro</w:t>
            </w:r>
          </w:p>
        </w:tc>
      </w:tr>
      <w:tr w:rsidR="009C2EA2" w:rsidRPr="00684F69" w:rsidTr="00EC571A">
        <w:tc>
          <w:tcPr>
            <w:tcW w:w="3472" w:type="dxa"/>
          </w:tcPr>
          <w:p w:rsidR="00384858" w:rsidRPr="00684F69" w:rsidRDefault="00384858" w:rsidP="00EC571A">
            <w:r w:rsidRPr="00684F69">
              <w:t>Składniki</w:t>
            </w:r>
          </w:p>
        </w:tc>
        <w:tc>
          <w:tcPr>
            <w:tcW w:w="5740" w:type="dxa"/>
          </w:tcPr>
          <w:p w:rsidR="00384858" w:rsidRPr="00684F69" w:rsidRDefault="00384858" w:rsidP="00985D76">
            <w:r w:rsidRPr="00684F69">
              <w:t xml:space="preserve">2 x Lampa błyskowa studyjna, 2 x statyw oświetleniowy,  2 x softbox </w:t>
            </w:r>
            <w:r w:rsidR="00985D76">
              <w:t>40x80 lub większy, 2 x system zdalnego wyzwalania radiowego, 2 x przewód zasilający minimum 5m, torba</w:t>
            </w:r>
          </w:p>
        </w:tc>
      </w:tr>
      <w:tr w:rsidR="009C2EA2" w:rsidRPr="00684F69" w:rsidTr="00EC571A">
        <w:tc>
          <w:tcPr>
            <w:tcW w:w="3472" w:type="dxa"/>
          </w:tcPr>
          <w:p w:rsidR="00384858" w:rsidRPr="00684F69" w:rsidRDefault="00384858" w:rsidP="00EC571A">
            <w:r w:rsidRPr="00684F69">
              <w:t>Cechy lampy</w:t>
            </w:r>
          </w:p>
        </w:tc>
        <w:tc>
          <w:tcPr>
            <w:tcW w:w="5740" w:type="dxa"/>
          </w:tcPr>
          <w:p w:rsidR="00384858" w:rsidRPr="00684F69" w:rsidRDefault="00384858" w:rsidP="00EC571A">
            <w:r w:rsidRPr="00684F69">
              <w:t>Moc: 600 Ws</w:t>
            </w:r>
          </w:p>
          <w:p w:rsidR="00384858" w:rsidRPr="00684F69" w:rsidRDefault="00384858" w:rsidP="00EC571A">
            <w:r w:rsidRPr="00684F69">
              <w:t>Zakres regulacji mocy: 1/</w:t>
            </w:r>
            <w:r w:rsidR="00985D76">
              <w:t>128 - 1/1</w:t>
            </w:r>
          </w:p>
          <w:p w:rsidR="00384858" w:rsidRPr="00684F69" w:rsidRDefault="00384858" w:rsidP="00EC571A">
            <w:r w:rsidRPr="00684F69">
              <w:t xml:space="preserve">Czas błysku [s]: </w:t>
            </w:r>
            <w:r w:rsidR="00F678E5" w:rsidRPr="00684F69">
              <w:t>1/</w:t>
            </w:r>
            <w:r w:rsidR="00985D76">
              <w:t>800</w:t>
            </w:r>
          </w:p>
          <w:p w:rsidR="00384858" w:rsidRPr="00684F69" w:rsidRDefault="00384858" w:rsidP="00EC571A">
            <w:r w:rsidRPr="00684F69">
              <w:t xml:space="preserve">Czas ładowania lampy: poniżej </w:t>
            </w:r>
            <w:r w:rsidR="00985D76">
              <w:t>2</w:t>
            </w:r>
            <w:r w:rsidRPr="00684F69">
              <w:t xml:space="preserve"> sek.</w:t>
            </w:r>
          </w:p>
          <w:p w:rsidR="00384858" w:rsidRPr="00684F69" w:rsidRDefault="00384858" w:rsidP="00EC571A">
            <w:r w:rsidRPr="00684F69">
              <w:t xml:space="preserve">Światło modelujące [W]: </w:t>
            </w:r>
            <w:r w:rsidR="00985D76">
              <w:t>150</w:t>
            </w:r>
          </w:p>
          <w:p w:rsidR="00384858" w:rsidRPr="00684F69" w:rsidRDefault="00384858" w:rsidP="00EC571A">
            <w:r w:rsidRPr="00684F69">
              <w:t>Temperatura barwowa [K]: 5</w:t>
            </w:r>
            <w:r w:rsidR="00985D76">
              <w:t>6</w:t>
            </w:r>
            <w:r w:rsidRPr="00684F69">
              <w:t xml:space="preserve">00 K ± </w:t>
            </w:r>
            <w:r w:rsidR="00985D76">
              <w:t>1</w:t>
            </w:r>
            <w:r w:rsidRPr="00684F69">
              <w:t>00 K</w:t>
            </w:r>
          </w:p>
          <w:p w:rsidR="00384858" w:rsidRPr="00684F69" w:rsidRDefault="00384858" w:rsidP="00EC571A">
            <w:r w:rsidRPr="00684F69">
              <w:t xml:space="preserve">Wyzwolenie lampy: </w:t>
            </w:r>
            <w:r w:rsidR="00F678E5" w:rsidRPr="00684F69">
              <w:t>Przewód synchro, fotocela (pierwszy i drugi błysk), podczerwień</w:t>
            </w:r>
          </w:p>
        </w:tc>
      </w:tr>
      <w:tr w:rsidR="00384858" w:rsidRPr="00684F69" w:rsidTr="00EC571A">
        <w:tc>
          <w:tcPr>
            <w:tcW w:w="3472" w:type="dxa"/>
          </w:tcPr>
          <w:p w:rsidR="00384858" w:rsidRPr="00684F69" w:rsidRDefault="00384858" w:rsidP="00EC571A">
            <w:r w:rsidRPr="00684F69">
              <w:t>Cechy statywu</w:t>
            </w:r>
          </w:p>
        </w:tc>
        <w:tc>
          <w:tcPr>
            <w:tcW w:w="5740" w:type="dxa"/>
          </w:tcPr>
          <w:p w:rsidR="00384858" w:rsidRPr="00684F69" w:rsidRDefault="00384858" w:rsidP="00EC571A">
            <w:r w:rsidRPr="00684F69">
              <w:t>minimalna 8</w:t>
            </w:r>
            <w:r w:rsidR="00985D76">
              <w:t>8</w:t>
            </w:r>
            <w:r w:rsidRPr="00684F69">
              <w:t xml:space="preserve"> cm lub mniej</w:t>
            </w:r>
          </w:p>
          <w:p w:rsidR="00384858" w:rsidRPr="00684F69" w:rsidRDefault="00384858" w:rsidP="00985D76">
            <w:r w:rsidRPr="00684F69">
              <w:t xml:space="preserve">Wysokość maksymalna przynajmniej </w:t>
            </w:r>
            <w:r w:rsidR="00985D76">
              <w:t>210</w:t>
            </w:r>
            <w:r w:rsidRPr="00684F69">
              <w:t xml:space="preserve"> cm</w:t>
            </w:r>
          </w:p>
        </w:tc>
      </w:tr>
    </w:tbl>
    <w:p w:rsidR="00384858" w:rsidRPr="00684F69" w:rsidRDefault="00384858" w:rsidP="00BA7954">
      <w:pPr>
        <w:rPr>
          <w:b/>
        </w:rPr>
      </w:pPr>
    </w:p>
    <w:p w:rsidR="00BA7954" w:rsidRPr="00684F69" w:rsidRDefault="00BA7954" w:rsidP="00BA7954">
      <w:pPr>
        <w:rPr>
          <w:b/>
        </w:rPr>
      </w:pPr>
      <w:r w:rsidRPr="00684F69">
        <w:rPr>
          <w:b/>
        </w:rPr>
        <w:t>Wzorzec koloru – szt. 1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r w:rsidRPr="00684F69">
              <w:t>Zastosowanie</w:t>
            </w:r>
          </w:p>
        </w:tc>
        <w:tc>
          <w:tcPr>
            <w:tcW w:w="5740" w:type="dxa"/>
          </w:tcPr>
          <w:p w:rsidR="00BA7954" w:rsidRPr="00684F69" w:rsidRDefault="00BA7954" w:rsidP="00874AFE">
            <w:r w:rsidRPr="00684F69">
              <w:t>Fotografia dzieł sztuki oraz dziedzictwa kulturowego</w:t>
            </w:r>
          </w:p>
        </w:tc>
      </w:tr>
      <w:tr w:rsidR="009C2EA2" w:rsidRPr="00684F69" w:rsidTr="00874AFE">
        <w:tc>
          <w:tcPr>
            <w:tcW w:w="3472" w:type="dxa"/>
          </w:tcPr>
          <w:p w:rsidR="00BA7954" w:rsidRPr="00684F69" w:rsidRDefault="00BA7954" w:rsidP="00874AFE">
            <w:r w:rsidRPr="00684F69">
              <w:t>Cechy</w:t>
            </w:r>
          </w:p>
        </w:tc>
        <w:tc>
          <w:tcPr>
            <w:tcW w:w="5740" w:type="dxa"/>
          </w:tcPr>
          <w:p w:rsidR="00BA7954" w:rsidRPr="00684F69" w:rsidRDefault="00BA7954" w:rsidP="00874AFE">
            <w:r w:rsidRPr="00684F69">
              <w:t>24 pola kolorystyczne o barwie i charakterystyce spektralnej naturalnych odpowiedników. Przeznaczony do współpracy z oprogramowaniem  do profilowania aparatów cyfrowych.</w:t>
            </w:r>
          </w:p>
        </w:tc>
      </w:tr>
      <w:tr w:rsidR="00BA7954" w:rsidRPr="00684F69" w:rsidTr="00874AFE">
        <w:tc>
          <w:tcPr>
            <w:tcW w:w="3472" w:type="dxa"/>
          </w:tcPr>
          <w:p w:rsidR="00BA7954" w:rsidRPr="00684F69" w:rsidRDefault="00BA7954" w:rsidP="00874AFE">
            <w:r w:rsidRPr="00684F69">
              <w:t>Wymiary</w:t>
            </w:r>
          </w:p>
        </w:tc>
        <w:tc>
          <w:tcPr>
            <w:tcW w:w="5740" w:type="dxa"/>
          </w:tcPr>
          <w:p w:rsidR="00BA7954" w:rsidRPr="00684F69" w:rsidRDefault="00BA7954" w:rsidP="00874AFE">
            <w:r w:rsidRPr="00684F69">
              <w:t>Typu mini, np. 6,3 x 10,6 cm</w:t>
            </w:r>
          </w:p>
        </w:tc>
      </w:tr>
    </w:tbl>
    <w:p w:rsidR="00533707" w:rsidRPr="00A93938" w:rsidRDefault="00533707" w:rsidP="0055002E">
      <w:pPr>
        <w:rPr>
          <w:b/>
        </w:rPr>
      </w:pPr>
    </w:p>
    <w:sectPr w:rsidR="00533707" w:rsidRPr="00A939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9F" w:rsidRDefault="00F9759F" w:rsidP="007E0865">
      <w:pPr>
        <w:spacing w:after="0" w:line="240" w:lineRule="auto"/>
      </w:pPr>
      <w:r>
        <w:separator/>
      </w:r>
    </w:p>
  </w:endnote>
  <w:endnote w:type="continuationSeparator" w:id="0">
    <w:p w:rsidR="00F9759F" w:rsidRDefault="00F9759F" w:rsidP="007E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0536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E3E7E" w:rsidRDefault="009E3E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ED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E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3E7E" w:rsidRDefault="009E3E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9F" w:rsidRDefault="00F9759F" w:rsidP="007E0865">
      <w:pPr>
        <w:spacing w:after="0" w:line="240" w:lineRule="auto"/>
      </w:pPr>
      <w:r>
        <w:separator/>
      </w:r>
    </w:p>
  </w:footnote>
  <w:footnote w:type="continuationSeparator" w:id="0">
    <w:p w:rsidR="00F9759F" w:rsidRDefault="00F9759F" w:rsidP="007E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7E" w:rsidRDefault="009E3E7E">
    <w:pPr>
      <w:pStyle w:val="Nagwek"/>
    </w:pPr>
    <w:r>
      <w:rPr>
        <w:noProof/>
      </w:rPr>
      <w:drawing>
        <wp:inline distT="0" distB="0" distL="0" distR="0" wp14:anchorId="486D746B" wp14:editId="2A180F8E">
          <wp:extent cx="5760720" cy="817710"/>
          <wp:effectExtent l="0" t="0" r="0" b="1905"/>
          <wp:docPr id="4" name="Obraz 4" descr="C:\Users\IN Stacja graficzna\Downloads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 Stacja graficzna\Downloads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034D4F12"/>
    <w:multiLevelType w:val="hybridMultilevel"/>
    <w:tmpl w:val="3A9A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6A6"/>
    <w:multiLevelType w:val="hybridMultilevel"/>
    <w:tmpl w:val="1D64D96C"/>
    <w:lvl w:ilvl="0" w:tplc="65DAD7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E6061"/>
    <w:multiLevelType w:val="hybridMultilevel"/>
    <w:tmpl w:val="B5062C98"/>
    <w:lvl w:ilvl="0" w:tplc="A8703AAE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640E"/>
    <w:multiLevelType w:val="hybridMultilevel"/>
    <w:tmpl w:val="8FA8B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7538"/>
    <w:multiLevelType w:val="multilevel"/>
    <w:tmpl w:val="47423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641DBD"/>
    <w:multiLevelType w:val="hybridMultilevel"/>
    <w:tmpl w:val="A0D45BF0"/>
    <w:lvl w:ilvl="0" w:tplc="927C1F3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173D17"/>
    <w:multiLevelType w:val="multilevel"/>
    <w:tmpl w:val="91B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6245EC"/>
    <w:multiLevelType w:val="multilevel"/>
    <w:tmpl w:val="754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14994"/>
    <w:multiLevelType w:val="multilevel"/>
    <w:tmpl w:val="E8CED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F672D8"/>
    <w:multiLevelType w:val="multilevel"/>
    <w:tmpl w:val="4B1CE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65"/>
    <w:rsid w:val="0000569D"/>
    <w:rsid w:val="00010D67"/>
    <w:rsid w:val="00013C7D"/>
    <w:rsid w:val="00014399"/>
    <w:rsid w:val="00014F6F"/>
    <w:rsid w:val="000157F2"/>
    <w:rsid w:val="00016252"/>
    <w:rsid w:val="00016AA1"/>
    <w:rsid w:val="00021170"/>
    <w:rsid w:val="0002388F"/>
    <w:rsid w:val="00024B4D"/>
    <w:rsid w:val="00025438"/>
    <w:rsid w:val="0003060B"/>
    <w:rsid w:val="00041706"/>
    <w:rsid w:val="00044F95"/>
    <w:rsid w:val="000455D6"/>
    <w:rsid w:val="00045DF5"/>
    <w:rsid w:val="000478D0"/>
    <w:rsid w:val="000556DD"/>
    <w:rsid w:val="00060F2E"/>
    <w:rsid w:val="000611E0"/>
    <w:rsid w:val="0006132A"/>
    <w:rsid w:val="0006288C"/>
    <w:rsid w:val="0007135E"/>
    <w:rsid w:val="00071E99"/>
    <w:rsid w:val="00072855"/>
    <w:rsid w:val="00076C48"/>
    <w:rsid w:val="00080B76"/>
    <w:rsid w:val="000825EA"/>
    <w:rsid w:val="000836A7"/>
    <w:rsid w:val="00087D3B"/>
    <w:rsid w:val="0009150F"/>
    <w:rsid w:val="00093F78"/>
    <w:rsid w:val="00094769"/>
    <w:rsid w:val="000A04AC"/>
    <w:rsid w:val="000A290B"/>
    <w:rsid w:val="000A5155"/>
    <w:rsid w:val="000A710D"/>
    <w:rsid w:val="000B1200"/>
    <w:rsid w:val="000B1C23"/>
    <w:rsid w:val="000B3B49"/>
    <w:rsid w:val="000B4540"/>
    <w:rsid w:val="000B6C73"/>
    <w:rsid w:val="000C0134"/>
    <w:rsid w:val="000C2718"/>
    <w:rsid w:val="000C6B9C"/>
    <w:rsid w:val="000D0148"/>
    <w:rsid w:val="000D0CB7"/>
    <w:rsid w:val="000D7A30"/>
    <w:rsid w:val="000E0DDE"/>
    <w:rsid w:val="000E5153"/>
    <w:rsid w:val="000E6A7F"/>
    <w:rsid w:val="000E780E"/>
    <w:rsid w:val="000F4A9C"/>
    <w:rsid w:val="000F5898"/>
    <w:rsid w:val="00101FA2"/>
    <w:rsid w:val="001059F0"/>
    <w:rsid w:val="0010619A"/>
    <w:rsid w:val="00106229"/>
    <w:rsid w:val="00107062"/>
    <w:rsid w:val="00110B89"/>
    <w:rsid w:val="00110D1B"/>
    <w:rsid w:val="00112542"/>
    <w:rsid w:val="00114EA6"/>
    <w:rsid w:val="00117051"/>
    <w:rsid w:val="00117530"/>
    <w:rsid w:val="0012316A"/>
    <w:rsid w:val="001259C1"/>
    <w:rsid w:val="00126579"/>
    <w:rsid w:val="00131417"/>
    <w:rsid w:val="00134EF9"/>
    <w:rsid w:val="001403CF"/>
    <w:rsid w:val="0014139F"/>
    <w:rsid w:val="001437CC"/>
    <w:rsid w:val="00145117"/>
    <w:rsid w:val="001457CF"/>
    <w:rsid w:val="00147880"/>
    <w:rsid w:val="001501A3"/>
    <w:rsid w:val="001515B8"/>
    <w:rsid w:val="0015253F"/>
    <w:rsid w:val="00153009"/>
    <w:rsid w:val="0015395B"/>
    <w:rsid w:val="00157389"/>
    <w:rsid w:val="00160D5F"/>
    <w:rsid w:val="0016165C"/>
    <w:rsid w:val="00163471"/>
    <w:rsid w:val="00163634"/>
    <w:rsid w:val="00164AD6"/>
    <w:rsid w:val="00164F38"/>
    <w:rsid w:val="00164F59"/>
    <w:rsid w:val="00166D56"/>
    <w:rsid w:val="00167EB8"/>
    <w:rsid w:val="00172301"/>
    <w:rsid w:val="00172F93"/>
    <w:rsid w:val="00174C68"/>
    <w:rsid w:val="00174ECD"/>
    <w:rsid w:val="0017750D"/>
    <w:rsid w:val="001778F4"/>
    <w:rsid w:val="00177BCA"/>
    <w:rsid w:val="00181A6F"/>
    <w:rsid w:val="00181AA5"/>
    <w:rsid w:val="00182192"/>
    <w:rsid w:val="0018338A"/>
    <w:rsid w:val="00184F43"/>
    <w:rsid w:val="00185774"/>
    <w:rsid w:val="001869B1"/>
    <w:rsid w:val="00191AE7"/>
    <w:rsid w:val="00191C75"/>
    <w:rsid w:val="0019247B"/>
    <w:rsid w:val="0019545E"/>
    <w:rsid w:val="0019760A"/>
    <w:rsid w:val="001A32B5"/>
    <w:rsid w:val="001A335A"/>
    <w:rsid w:val="001B1B51"/>
    <w:rsid w:val="001B3C10"/>
    <w:rsid w:val="001C2A80"/>
    <w:rsid w:val="001C6B31"/>
    <w:rsid w:val="001D1584"/>
    <w:rsid w:val="001D2B50"/>
    <w:rsid w:val="001D2FE0"/>
    <w:rsid w:val="001D335C"/>
    <w:rsid w:val="001D4B57"/>
    <w:rsid w:val="001D5E99"/>
    <w:rsid w:val="001D67BC"/>
    <w:rsid w:val="001D7BF8"/>
    <w:rsid w:val="001E21C8"/>
    <w:rsid w:val="001E2507"/>
    <w:rsid w:val="001E3143"/>
    <w:rsid w:val="001F0663"/>
    <w:rsid w:val="001F24DC"/>
    <w:rsid w:val="001F3B74"/>
    <w:rsid w:val="001F3CA6"/>
    <w:rsid w:val="001F651C"/>
    <w:rsid w:val="001F7312"/>
    <w:rsid w:val="002035BC"/>
    <w:rsid w:val="00203C1D"/>
    <w:rsid w:val="0020425A"/>
    <w:rsid w:val="00205649"/>
    <w:rsid w:val="00205BD8"/>
    <w:rsid w:val="00206FAF"/>
    <w:rsid w:val="002108A8"/>
    <w:rsid w:val="0021148D"/>
    <w:rsid w:val="002114C8"/>
    <w:rsid w:val="00212EAA"/>
    <w:rsid w:val="002137AF"/>
    <w:rsid w:val="002142D1"/>
    <w:rsid w:val="00216C1F"/>
    <w:rsid w:val="00216D49"/>
    <w:rsid w:val="00217A76"/>
    <w:rsid w:val="00221CD9"/>
    <w:rsid w:val="002222CA"/>
    <w:rsid w:val="002314C8"/>
    <w:rsid w:val="002315EA"/>
    <w:rsid w:val="002335A3"/>
    <w:rsid w:val="00235D34"/>
    <w:rsid w:val="00235E54"/>
    <w:rsid w:val="00236200"/>
    <w:rsid w:val="0024418A"/>
    <w:rsid w:val="00245930"/>
    <w:rsid w:val="002462C1"/>
    <w:rsid w:val="00250577"/>
    <w:rsid w:val="00250760"/>
    <w:rsid w:val="00251B18"/>
    <w:rsid w:val="00251DB6"/>
    <w:rsid w:val="002529AA"/>
    <w:rsid w:val="00253523"/>
    <w:rsid w:val="00255011"/>
    <w:rsid w:val="00255898"/>
    <w:rsid w:val="0025617A"/>
    <w:rsid w:val="00260847"/>
    <w:rsid w:val="00262416"/>
    <w:rsid w:val="002651F1"/>
    <w:rsid w:val="0027120F"/>
    <w:rsid w:val="002717BC"/>
    <w:rsid w:val="00273859"/>
    <w:rsid w:val="00274817"/>
    <w:rsid w:val="002772E7"/>
    <w:rsid w:val="002773D8"/>
    <w:rsid w:val="00281F9E"/>
    <w:rsid w:val="00283E80"/>
    <w:rsid w:val="00285A44"/>
    <w:rsid w:val="00286739"/>
    <w:rsid w:val="00286986"/>
    <w:rsid w:val="002910BD"/>
    <w:rsid w:val="002919EE"/>
    <w:rsid w:val="00292B38"/>
    <w:rsid w:val="00294C6C"/>
    <w:rsid w:val="00294E31"/>
    <w:rsid w:val="002A50B1"/>
    <w:rsid w:val="002A6E67"/>
    <w:rsid w:val="002A6ECA"/>
    <w:rsid w:val="002B048A"/>
    <w:rsid w:val="002B0E32"/>
    <w:rsid w:val="002B6591"/>
    <w:rsid w:val="002B6598"/>
    <w:rsid w:val="002D2D58"/>
    <w:rsid w:val="002D60DE"/>
    <w:rsid w:val="002D7A05"/>
    <w:rsid w:val="002E117F"/>
    <w:rsid w:val="002E1F59"/>
    <w:rsid w:val="002E229F"/>
    <w:rsid w:val="002E48F5"/>
    <w:rsid w:val="002E63D4"/>
    <w:rsid w:val="002E7A04"/>
    <w:rsid w:val="002F010B"/>
    <w:rsid w:val="002F0CB6"/>
    <w:rsid w:val="002F283D"/>
    <w:rsid w:val="002F5E7C"/>
    <w:rsid w:val="002F6C6C"/>
    <w:rsid w:val="003059BA"/>
    <w:rsid w:val="0030655C"/>
    <w:rsid w:val="00306EBE"/>
    <w:rsid w:val="003100D0"/>
    <w:rsid w:val="00316C97"/>
    <w:rsid w:val="00325511"/>
    <w:rsid w:val="00330194"/>
    <w:rsid w:val="0033078D"/>
    <w:rsid w:val="0033091B"/>
    <w:rsid w:val="00330EB0"/>
    <w:rsid w:val="00331FDC"/>
    <w:rsid w:val="00333BF3"/>
    <w:rsid w:val="003340B4"/>
    <w:rsid w:val="00335405"/>
    <w:rsid w:val="00341474"/>
    <w:rsid w:val="0034241D"/>
    <w:rsid w:val="00342DEC"/>
    <w:rsid w:val="003442EA"/>
    <w:rsid w:val="0034603E"/>
    <w:rsid w:val="003476C1"/>
    <w:rsid w:val="00350560"/>
    <w:rsid w:val="003509AA"/>
    <w:rsid w:val="00355340"/>
    <w:rsid w:val="0036020E"/>
    <w:rsid w:val="003637F8"/>
    <w:rsid w:val="003647CF"/>
    <w:rsid w:val="00364C16"/>
    <w:rsid w:val="00365766"/>
    <w:rsid w:val="00367D23"/>
    <w:rsid w:val="00370EF3"/>
    <w:rsid w:val="003764EF"/>
    <w:rsid w:val="00377B85"/>
    <w:rsid w:val="00381428"/>
    <w:rsid w:val="003823F1"/>
    <w:rsid w:val="00384527"/>
    <w:rsid w:val="00384858"/>
    <w:rsid w:val="00390DD3"/>
    <w:rsid w:val="00391B5B"/>
    <w:rsid w:val="003951CB"/>
    <w:rsid w:val="003968B5"/>
    <w:rsid w:val="00397372"/>
    <w:rsid w:val="00397AF7"/>
    <w:rsid w:val="003A3D1E"/>
    <w:rsid w:val="003B1C7D"/>
    <w:rsid w:val="003B232B"/>
    <w:rsid w:val="003B246C"/>
    <w:rsid w:val="003B374E"/>
    <w:rsid w:val="003B4CAB"/>
    <w:rsid w:val="003C3521"/>
    <w:rsid w:val="003C4515"/>
    <w:rsid w:val="003C7BA9"/>
    <w:rsid w:val="003D0280"/>
    <w:rsid w:val="003D08CB"/>
    <w:rsid w:val="003D1C01"/>
    <w:rsid w:val="003D34EF"/>
    <w:rsid w:val="003D4436"/>
    <w:rsid w:val="003D66D5"/>
    <w:rsid w:val="003E2887"/>
    <w:rsid w:val="003E3A89"/>
    <w:rsid w:val="003E58CC"/>
    <w:rsid w:val="003E6A20"/>
    <w:rsid w:val="003E6EFF"/>
    <w:rsid w:val="003E7344"/>
    <w:rsid w:val="003F02F4"/>
    <w:rsid w:val="003F0D16"/>
    <w:rsid w:val="003F1587"/>
    <w:rsid w:val="003F1D3B"/>
    <w:rsid w:val="003F3CE5"/>
    <w:rsid w:val="003F6BA0"/>
    <w:rsid w:val="0040367D"/>
    <w:rsid w:val="00403C21"/>
    <w:rsid w:val="00403C59"/>
    <w:rsid w:val="004140AD"/>
    <w:rsid w:val="004166D5"/>
    <w:rsid w:val="00417E18"/>
    <w:rsid w:val="00420565"/>
    <w:rsid w:val="00424DC4"/>
    <w:rsid w:val="00424F62"/>
    <w:rsid w:val="00425535"/>
    <w:rsid w:val="00433A3D"/>
    <w:rsid w:val="00435A7D"/>
    <w:rsid w:val="00436EC4"/>
    <w:rsid w:val="00437BEF"/>
    <w:rsid w:val="00442593"/>
    <w:rsid w:val="004432CB"/>
    <w:rsid w:val="00444639"/>
    <w:rsid w:val="004452DE"/>
    <w:rsid w:val="00447235"/>
    <w:rsid w:val="0045129A"/>
    <w:rsid w:val="00452C17"/>
    <w:rsid w:val="00462E0C"/>
    <w:rsid w:val="00463635"/>
    <w:rsid w:val="00464A7C"/>
    <w:rsid w:val="00464F45"/>
    <w:rsid w:val="00465EC1"/>
    <w:rsid w:val="00471A0B"/>
    <w:rsid w:val="00472B63"/>
    <w:rsid w:val="00472F8F"/>
    <w:rsid w:val="00473929"/>
    <w:rsid w:val="004751DA"/>
    <w:rsid w:val="00476678"/>
    <w:rsid w:val="0048358B"/>
    <w:rsid w:val="004839F8"/>
    <w:rsid w:val="00483E3A"/>
    <w:rsid w:val="0048429D"/>
    <w:rsid w:val="00487B7C"/>
    <w:rsid w:val="0049023E"/>
    <w:rsid w:val="004917AA"/>
    <w:rsid w:val="00493228"/>
    <w:rsid w:val="00496D18"/>
    <w:rsid w:val="004A3BF9"/>
    <w:rsid w:val="004A5BAE"/>
    <w:rsid w:val="004A6089"/>
    <w:rsid w:val="004B0CE5"/>
    <w:rsid w:val="004B3ED2"/>
    <w:rsid w:val="004B4A54"/>
    <w:rsid w:val="004C59E0"/>
    <w:rsid w:val="004C5F7D"/>
    <w:rsid w:val="004C5FD8"/>
    <w:rsid w:val="004C77C7"/>
    <w:rsid w:val="004D015B"/>
    <w:rsid w:val="004D0AF4"/>
    <w:rsid w:val="004D3387"/>
    <w:rsid w:val="004D3A39"/>
    <w:rsid w:val="004D4B03"/>
    <w:rsid w:val="004D4F69"/>
    <w:rsid w:val="004E0EEF"/>
    <w:rsid w:val="004E0F88"/>
    <w:rsid w:val="004E2F98"/>
    <w:rsid w:val="004E6EDE"/>
    <w:rsid w:val="004E78BE"/>
    <w:rsid w:val="004F28F1"/>
    <w:rsid w:val="004F543E"/>
    <w:rsid w:val="004F5C41"/>
    <w:rsid w:val="00501092"/>
    <w:rsid w:val="00502FCE"/>
    <w:rsid w:val="00505E82"/>
    <w:rsid w:val="00505EF1"/>
    <w:rsid w:val="00510757"/>
    <w:rsid w:val="005115B4"/>
    <w:rsid w:val="00512F98"/>
    <w:rsid w:val="00513EB2"/>
    <w:rsid w:val="005170E6"/>
    <w:rsid w:val="00520167"/>
    <w:rsid w:val="005206C1"/>
    <w:rsid w:val="0052190A"/>
    <w:rsid w:val="00523C8D"/>
    <w:rsid w:val="00523CD6"/>
    <w:rsid w:val="00526D38"/>
    <w:rsid w:val="005270DC"/>
    <w:rsid w:val="00530F4A"/>
    <w:rsid w:val="00533707"/>
    <w:rsid w:val="005340F6"/>
    <w:rsid w:val="005345B6"/>
    <w:rsid w:val="00542A48"/>
    <w:rsid w:val="0055002E"/>
    <w:rsid w:val="0055139F"/>
    <w:rsid w:val="00552E1F"/>
    <w:rsid w:val="00554611"/>
    <w:rsid w:val="0055611F"/>
    <w:rsid w:val="00560932"/>
    <w:rsid w:val="005609EB"/>
    <w:rsid w:val="00563805"/>
    <w:rsid w:val="00563CF9"/>
    <w:rsid w:val="00565592"/>
    <w:rsid w:val="00570A80"/>
    <w:rsid w:val="00574E3E"/>
    <w:rsid w:val="005766DE"/>
    <w:rsid w:val="00576C3B"/>
    <w:rsid w:val="0058083C"/>
    <w:rsid w:val="00582576"/>
    <w:rsid w:val="00583F64"/>
    <w:rsid w:val="00585559"/>
    <w:rsid w:val="005939F2"/>
    <w:rsid w:val="00594F26"/>
    <w:rsid w:val="005973E8"/>
    <w:rsid w:val="00597855"/>
    <w:rsid w:val="005A347B"/>
    <w:rsid w:val="005A3F5B"/>
    <w:rsid w:val="005A454E"/>
    <w:rsid w:val="005A5610"/>
    <w:rsid w:val="005A6AF7"/>
    <w:rsid w:val="005A756D"/>
    <w:rsid w:val="005B5C14"/>
    <w:rsid w:val="005B610B"/>
    <w:rsid w:val="005B6AAF"/>
    <w:rsid w:val="005C050D"/>
    <w:rsid w:val="005C4047"/>
    <w:rsid w:val="005C4440"/>
    <w:rsid w:val="005C76C5"/>
    <w:rsid w:val="005D1F29"/>
    <w:rsid w:val="005D3AC1"/>
    <w:rsid w:val="005E1F6C"/>
    <w:rsid w:val="005E34F6"/>
    <w:rsid w:val="005E397C"/>
    <w:rsid w:val="005E47FD"/>
    <w:rsid w:val="005F2A4F"/>
    <w:rsid w:val="005F4FB0"/>
    <w:rsid w:val="005F7279"/>
    <w:rsid w:val="0060007A"/>
    <w:rsid w:val="00603ADD"/>
    <w:rsid w:val="006064A6"/>
    <w:rsid w:val="0061026B"/>
    <w:rsid w:val="0061103F"/>
    <w:rsid w:val="00613FA9"/>
    <w:rsid w:val="00614635"/>
    <w:rsid w:val="00617FE1"/>
    <w:rsid w:val="0062445A"/>
    <w:rsid w:val="006271C4"/>
    <w:rsid w:val="0063167C"/>
    <w:rsid w:val="0063238A"/>
    <w:rsid w:val="00633A8C"/>
    <w:rsid w:val="00634723"/>
    <w:rsid w:val="0063689D"/>
    <w:rsid w:val="00636C6A"/>
    <w:rsid w:val="00637CAE"/>
    <w:rsid w:val="00640261"/>
    <w:rsid w:val="00641572"/>
    <w:rsid w:val="00644C16"/>
    <w:rsid w:val="006456AF"/>
    <w:rsid w:val="00645794"/>
    <w:rsid w:val="006462EE"/>
    <w:rsid w:val="0065124C"/>
    <w:rsid w:val="0065223C"/>
    <w:rsid w:val="00654D28"/>
    <w:rsid w:val="00655E45"/>
    <w:rsid w:val="00656227"/>
    <w:rsid w:val="00657649"/>
    <w:rsid w:val="00657E9A"/>
    <w:rsid w:val="0066703E"/>
    <w:rsid w:val="00670333"/>
    <w:rsid w:val="00670BAE"/>
    <w:rsid w:val="006721E1"/>
    <w:rsid w:val="00672CC6"/>
    <w:rsid w:val="0067665C"/>
    <w:rsid w:val="00676E6D"/>
    <w:rsid w:val="006818FD"/>
    <w:rsid w:val="006824A7"/>
    <w:rsid w:val="00682F62"/>
    <w:rsid w:val="00684AE2"/>
    <w:rsid w:val="00684F69"/>
    <w:rsid w:val="006872A8"/>
    <w:rsid w:val="00687E7F"/>
    <w:rsid w:val="00692732"/>
    <w:rsid w:val="00693466"/>
    <w:rsid w:val="00693933"/>
    <w:rsid w:val="00695022"/>
    <w:rsid w:val="006A2357"/>
    <w:rsid w:val="006A276F"/>
    <w:rsid w:val="006A4A54"/>
    <w:rsid w:val="006A54A4"/>
    <w:rsid w:val="006B0F41"/>
    <w:rsid w:val="006B1672"/>
    <w:rsid w:val="006B2D4A"/>
    <w:rsid w:val="006B3F18"/>
    <w:rsid w:val="006B6A53"/>
    <w:rsid w:val="006B6AAF"/>
    <w:rsid w:val="006B7D2F"/>
    <w:rsid w:val="006C1D76"/>
    <w:rsid w:val="006C453C"/>
    <w:rsid w:val="006C4CA0"/>
    <w:rsid w:val="006D024D"/>
    <w:rsid w:val="006D1313"/>
    <w:rsid w:val="006D2126"/>
    <w:rsid w:val="006E1589"/>
    <w:rsid w:val="006E46A8"/>
    <w:rsid w:val="006F0CA1"/>
    <w:rsid w:val="006F30D7"/>
    <w:rsid w:val="006F4BCC"/>
    <w:rsid w:val="007015FE"/>
    <w:rsid w:val="0070181A"/>
    <w:rsid w:val="007123D1"/>
    <w:rsid w:val="007137E9"/>
    <w:rsid w:val="00721478"/>
    <w:rsid w:val="0072275B"/>
    <w:rsid w:val="00725F9B"/>
    <w:rsid w:val="00726674"/>
    <w:rsid w:val="0072778D"/>
    <w:rsid w:val="00732B97"/>
    <w:rsid w:val="007334CC"/>
    <w:rsid w:val="00735F82"/>
    <w:rsid w:val="00741408"/>
    <w:rsid w:val="00741486"/>
    <w:rsid w:val="0074263B"/>
    <w:rsid w:val="0074284B"/>
    <w:rsid w:val="007429DB"/>
    <w:rsid w:val="00754A71"/>
    <w:rsid w:val="00755959"/>
    <w:rsid w:val="00756F9B"/>
    <w:rsid w:val="00757196"/>
    <w:rsid w:val="007628A6"/>
    <w:rsid w:val="007637CF"/>
    <w:rsid w:val="00766E3B"/>
    <w:rsid w:val="00770A94"/>
    <w:rsid w:val="007722AE"/>
    <w:rsid w:val="00772464"/>
    <w:rsid w:val="00773032"/>
    <w:rsid w:val="00777020"/>
    <w:rsid w:val="007777C1"/>
    <w:rsid w:val="00793876"/>
    <w:rsid w:val="00794739"/>
    <w:rsid w:val="0079473E"/>
    <w:rsid w:val="007A3BFC"/>
    <w:rsid w:val="007B5DF2"/>
    <w:rsid w:val="007B6401"/>
    <w:rsid w:val="007B7181"/>
    <w:rsid w:val="007C1BFA"/>
    <w:rsid w:val="007C5C43"/>
    <w:rsid w:val="007C6B76"/>
    <w:rsid w:val="007D1146"/>
    <w:rsid w:val="007D1B4E"/>
    <w:rsid w:val="007D5487"/>
    <w:rsid w:val="007D73FF"/>
    <w:rsid w:val="007E0865"/>
    <w:rsid w:val="007E2AE3"/>
    <w:rsid w:val="007F1B41"/>
    <w:rsid w:val="007F3503"/>
    <w:rsid w:val="007F5160"/>
    <w:rsid w:val="007F51F1"/>
    <w:rsid w:val="007F6ACD"/>
    <w:rsid w:val="007F7BE2"/>
    <w:rsid w:val="008031CF"/>
    <w:rsid w:val="00805305"/>
    <w:rsid w:val="0080761B"/>
    <w:rsid w:val="00812FB4"/>
    <w:rsid w:val="00813BA5"/>
    <w:rsid w:val="008141D9"/>
    <w:rsid w:val="00815BA9"/>
    <w:rsid w:val="0082187E"/>
    <w:rsid w:val="0082287E"/>
    <w:rsid w:val="00833C52"/>
    <w:rsid w:val="00834A6B"/>
    <w:rsid w:val="00840E21"/>
    <w:rsid w:val="00845724"/>
    <w:rsid w:val="008463A5"/>
    <w:rsid w:val="008512DC"/>
    <w:rsid w:val="00862B62"/>
    <w:rsid w:val="00863DC3"/>
    <w:rsid w:val="008642C4"/>
    <w:rsid w:val="00870A33"/>
    <w:rsid w:val="00873F87"/>
    <w:rsid w:val="00874AFE"/>
    <w:rsid w:val="00875070"/>
    <w:rsid w:val="00875961"/>
    <w:rsid w:val="008776D4"/>
    <w:rsid w:val="00880443"/>
    <w:rsid w:val="008814ED"/>
    <w:rsid w:val="0088285E"/>
    <w:rsid w:val="00883E5E"/>
    <w:rsid w:val="0088548A"/>
    <w:rsid w:val="008864F6"/>
    <w:rsid w:val="00886CFF"/>
    <w:rsid w:val="00890F88"/>
    <w:rsid w:val="00891570"/>
    <w:rsid w:val="00891677"/>
    <w:rsid w:val="008917E8"/>
    <w:rsid w:val="00891EDB"/>
    <w:rsid w:val="00892364"/>
    <w:rsid w:val="008928BC"/>
    <w:rsid w:val="008945F4"/>
    <w:rsid w:val="0089696E"/>
    <w:rsid w:val="008975F2"/>
    <w:rsid w:val="00897C85"/>
    <w:rsid w:val="008A15F9"/>
    <w:rsid w:val="008A6BD9"/>
    <w:rsid w:val="008B34B0"/>
    <w:rsid w:val="008B35A0"/>
    <w:rsid w:val="008B54CD"/>
    <w:rsid w:val="008C06D4"/>
    <w:rsid w:val="008C0A54"/>
    <w:rsid w:val="008C2EF6"/>
    <w:rsid w:val="008C3E81"/>
    <w:rsid w:val="008C4FE0"/>
    <w:rsid w:val="008C57B3"/>
    <w:rsid w:val="008C5D74"/>
    <w:rsid w:val="008D1832"/>
    <w:rsid w:val="008D54DE"/>
    <w:rsid w:val="008D6C1D"/>
    <w:rsid w:val="008E08DC"/>
    <w:rsid w:val="008E661F"/>
    <w:rsid w:val="008F0796"/>
    <w:rsid w:val="008F22D5"/>
    <w:rsid w:val="008F29E0"/>
    <w:rsid w:val="008F388F"/>
    <w:rsid w:val="008F60A1"/>
    <w:rsid w:val="008F62C6"/>
    <w:rsid w:val="008F7F60"/>
    <w:rsid w:val="0090013A"/>
    <w:rsid w:val="00901AC5"/>
    <w:rsid w:val="0090256D"/>
    <w:rsid w:val="00902A97"/>
    <w:rsid w:val="00912404"/>
    <w:rsid w:val="00912858"/>
    <w:rsid w:val="0091549A"/>
    <w:rsid w:val="00915901"/>
    <w:rsid w:val="00916A88"/>
    <w:rsid w:val="00917945"/>
    <w:rsid w:val="00917F7A"/>
    <w:rsid w:val="00920AD5"/>
    <w:rsid w:val="00920C2C"/>
    <w:rsid w:val="009239B9"/>
    <w:rsid w:val="00924BD0"/>
    <w:rsid w:val="00926C3E"/>
    <w:rsid w:val="009322DD"/>
    <w:rsid w:val="009332F1"/>
    <w:rsid w:val="00935DB9"/>
    <w:rsid w:val="00937C84"/>
    <w:rsid w:val="009412AA"/>
    <w:rsid w:val="00941B57"/>
    <w:rsid w:val="00942895"/>
    <w:rsid w:val="00951695"/>
    <w:rsid w:val="00952514"/>
    <w:rsid w:val="00953E8C"/>
    <w:rsid w:val="0095594E"/>
    <w:rsid w:val="00956B45"/>
    <w:rsid w:val="00956EC3"/>
    <w:rsid w:val="00957696"/>
    <w:rsid w:val="00964BD1"/>
    <w:rsid w:val="009660C6"/>
    <w:rsid w:val="00967B6D"/>
    <w:rsid w:val="00974052"/>
    <w:rsid w:val="00975B59"/>
    <w:rsid w:val="00975E9C"/>
    <w:rsid w:val="00975EB6"/>
    <w:rsid w:val="0098037D"/>
    <w:rsid w:val="0098048C"/>
    <w:rsid w:val="00980BA1"/>
    <w:rsid w:val="0098212C"/>
    <w:rsid w:val="00984F11"/>
    <w:rsid w:val="00985D76"/>
    <w:rsid w:val="00987339"/>
    <w:rsid w:val="00993F83"/>
    <w:rsid w:val="00994112"/>
    <w:rsid w:val="009979C0"/>
    <w:rsid w:val="009A1E7E"/>
    <w:rsid w:val="009A43F1"/>
    <w:rsid w:val="009A4729"/>
    <w:rsid w:val="009A7458"/>
    <w:rsid w:val="009B1C0F"/>
    <w:rsid w:val="009B3053"/>
    <w:rsid w:val="009B3364"/>
    <w:rsid w:val="009B5545"/>
    <w:rsid w:val="009C2EA2"/>
    <w:rsid w:val="009C3A2F"/>
    <w:rsid w:val="009C5E31"/>
    <w:rsid w:val="009C6377"/>
    <w:rsid w:val="009C6CC2"/>
    <w:rsid w:val="009D42EE"/>
    <w:rsid w:val="009D48DD"/>
    <w:rsid w:val="009D7CE1"/>
    <w:rsid w:val="009E0CF2"/>
    <w:rsid w:val="009E1956"/>
    <w:rsid w:val="009E305B"/>
    <w:rsid w:val="009E3E7E"/>
    <w:rsid w:val="009E502B"/>
    <w:rsid w:val="009E682F"/>
    <w:rsid w:val="009E74EE"/>
    <w:rsid w:val="009F6559"/>
    <w:rsid w:val="00A03514"/>
    <w:rsid w:val="00A04DF8"/>
    <w:rsid w:val="00A064AD"/>
    <w:rsid w:val="00A06BF3"/>
    <w:rsid w:val="00A107D7"/>
    <w:rsid w:val="00A1095A"/>
    <w:rsid w:val="00A113F7"/>
    <w:rsid w:val="00A1204F"/>
    <w:rsid w:val="00A137FA"/>
    <w:rsid w:val="00A13AF6"/>
    <w:rsid w:val="00A153CC"/>
    <w:rsid w:val="00A15912"/>
    <w:rsid w:val="00A16019"/>
    <w:rsid w:val="00A204C6"/>
    <w:rsid w:val="00A2059E"/>
    <w:rsid w:val="00A20975"/>
    <w:rsid w:val="00A246E2"/>
    <w:rsid w:val="00A2624D"/>
    <w:rsid w:val="00A27E62"/>
    <w:rsid w:val="00A34CDB"/>
    <w:rsid w:val="00A352E7"/>
    <w:rsid w:val="00A36A31"/>
    <w:rsid w:val="00A36F36"/>
    <w:rsid w:val="00A4110A"/>
    <w:rsid w:val="00A4278E"/>
    <w:rsid w:val="00A4298F"/>
    <w:rsid w:val="00A469BE"/>
    <w:rsid w:val="00A47ACC"/>
    <w:rsid w:val="00A50584"/>
    <w:rsid w:val="00A557B0"/>
    <w:rsid w:val="00A5664C"/>
    <w:rsid w:val="00A57D4B"/>
    <w:rsid w:val="00A60A2B"/>
    <w:rsid w:val="00A647A5"/>
    <w:rsid w:val="00A6702D"/>
    <w:rsid w:val="00A70086"/>
    <w:rsid w:val="00A7460A"/>
    <w:rsid w:val="00A8055B"/>
    <w:rsid w:val="00A81FEA"/>
    <w:rsid w:val="00A82595"/>
    <w:rsid w:val="00A87922"/>
    <w:rsid w:val="00A908CC"/>
    <w:rsid w:val="00A93938"/>
    <w:rsid w:val="00A94119"/>
    <w:rsid w:val="00A94931"/>
    <w:rsid w:val="00A95193"/>
    <w:rsid w:val="00A968FB"/>
    <w:rsid w:val="00AA15CB"/>
    <w:rsid w:val="00AB5113"/>
    <w:rsid w:val="00AB6D2B"/>
    <w:rsid w:val="00AC0988"/>
    <w:rsid w:val="00AC3EC3"/>
    <w:rsid w:val="00AC531C"/>
    <w:rsid w:val="00AC5788"/>
    <w:rsid w:val="00AD20F1"/>
    <w:rsid w:val="00AD32A6"/>
    <w:rsid w:val="00AD7926"/>
    <w:rsid w:val="00AE1945"/>
    <w:rsid w:val="00AE4A25"/>
    <w:rsid w:val="00AE4B1D"/>
    <w:rsid w:val="00AE500C"/>
    <w:rsid w:val="00AE5035"/>
    <w:rsid w:val="00AE6AAB"/>
    <w:rsid w:val="00AE7795"/>
    <w:rsid w:val="00AF0C24"/>
    <w:rsid w:val="00AF0F9D"/>
    <w:rsid w:val="00AF6447"/>
    <w:rsid w:val="00B016F5"/>
    <w:rsid w:val="00B0202C"/>
    <w:rsid w:val="00B02F07"/>
    <w:rsid w:val="00B07EBB"/>
    <w:rsid w:val="00B104C8"/>
    <w:rsid w:val="00B104FD"/>
    <w:rsid w:val="00B14537"/>
    <w:rsid w:val="00B161D2"/>
    <w:rsid w:val="00B16EF2"/>
    <w:rsid w:val="00B17B73"/>
    <w:rsid w:val="00B20E64"/>
    <w:rsid w:val="00B22AC9"/>
    <w:rsid w:val="00B24451"/>
    <w:rsid w:val="00B26F56"/>
    <w:rsid w:val="00B2756A"/>
    <w:rsid w:val="00B33000"/>
    <w:rsid w:val="00B34185"/>
    <w:rsid w:val="00B362CA"/>
    <w:rsid w:val="00B37986"/>
    <w:rsid w:val="00B43A84"/>
    <w:rsid w:val="00B44381"/>
    <w:rsid w:val="00B44650"/>
    <w:rsid w:val="00B45233"/>
    <w:rsid w:val="00B475AB"/>
    <w:rsid w:val="00B50078"/>
    <w:rsid w:val="00B50FED"/>
    <w:rsid w:val="00B53183"/>
    <w:rsid w:val="00B54F5E"/>
    <w:rsid w:val="00B57A2B"/>
    <w:rsid w:val="00B60724"/>
    <w:rsid w:val="00B62FA2"/>
    <w:rsid w:val="00B64D70"/>
    <w:rsid w:val="00B6715F"/>
    <w:rsid w:val="00B67A6A"/>
    <w:rsid w:val="00B67D4F"/>
    <w:rsid w:val="00B809A8"/>
    <w:rsid w:val="00B8396E"/>
    <w:rsid w:val="00B85EDD"/>
    <w:rsid w:val="00B868C0"/>
    <w:rsid w:val="00B967F5"/>
    <w:rsid w:val="00B96FCB"/>
    <w:rsid w:val="00B9724F"/>
    <w:rsid w:val="00B97987"/>
    <w:rsid w:val="00BA0350"/>
    <w:rsid w:val="00BA0A5E"/>
    <w:rsid w:val="00BA18C2"/>
    <w:rsid w:val="00BA4120"/>
    <w:rsid w:val="00BA6CE3"/>
    <w:rsid w:val="00BA75C3"/>
    <w:rsid w:val="00BA7954"/>
    <w:rsid w:val="00BB231E"/>
    <w:rsid w:val="00BB289E"/>
    <w:rsid w:val="00BB46C3"/>
    <w:rsid w:val="00BC1BFC"/>
    <w:rsid w:val="00BC1D5F"/>
    <w:rsid w:val="00BC4037"/>
    <w:rsid w:val="00BC511A"/>
    <w:rsid w:val="00BD1A06"/>
    <w:rsid w:val="00BE11F0"/>
    <w:rsid w:val="00BE3331"/>
    <w:rsid w:val="00BE6A29"/>
    <w:rsid w:val="00BF0209"/>
    <w:rsid w:val="00BF2C34"/>
    <w:rsid w:val="00BF2F81"/>
    <w:rsid w:val="00BF3398"/>
    <w:rsid w:val="00BF37E3"/>
    <w:rsid w:val="00BF3AAE"/>
    <w:rsid w:val="00BF423A"/>
    <w:rsid w:val="00BF73E3"/>
    <w:rsid w:val="00C01E77"/>
    <w:rsid w:val="00C06387"/>
    <w:rsid w:val="00C07BDE"/>
    <w:rsid w:val="00C10D63"/>
    <w:rsid w:val="00C127EB"/>
    <w:rsid w:val="00C142A5"/>
    <w:rsid w:val="00C15434"/>
    <w:rsid w:val="00C21C2E"/>
    <w:rsid w:val="00C23A5E"/>
    <w:rsid w:val="00C24802"/>
    <w:rsid w:val="00C27960"/>
    <w:rsid w:val="00C30ED3"/>
    <w:rsid w:val="00C34463"/>
    <w:rsid w:val="00C36B9D"/>
    <w:rsid w:val="00C37C7E"/>
    <w:rsid w:val="00C41127"/>
    <w:rsid w:val="00C42D04"/>
    <w:rsid w:val="00C469B6"/>
    <w:rsid w:val="00C470A9"/>
    <w:rsid w:val="00C4723B"/>
    <w:rsid w:val="00C47263"/>
    <w:rsid w:val="00C52353"/>
    <w:rsid w:val="00C53BBA"/>
    <w:rsid w:val="00C540B8"/>
    <w:rsid w:val="00C547A8"/>
    <w:rsid w:val="00C5637D"/>
    <w:rsid w:val="00C5644F"/>
    <w:rsid w:val="00C57253"/>
    <w:rsid w:val="00C626FF"/>
    <w:rsid w:val="00C62DD8"/>
    <w:rsid w:val="00C6358C"/>
    <w:rsid w:val="00C65F70"/>
    <w:rsid w:val="00C70EB0"/>
    <w:rsid w:val="00C7413A"/>
    <w:rsid w:val="00C759FB"/>
    <w:rsid w:val="00C804A4"/>
    <w:rsid w:val="00C819AD"/>
    <w:rsid w:val="00C8244B"/>
    <w:rsid w:val="00C83B1A"/>
    <w:rsid w:val="00C84984"/>
    <w:rsid w:val="00C85DC5"/>
    <w:rsid w:val="00C923AB"/>
    <w:rsid w:val="00C93225"/>
    <w:rsid w:val="00C96565"/>
    <w:rsid w:val="00CA153B"/>
    <w:rsid w:val="00CA1A40"/>
    <w:rsid w:val="00CA3FF2"/>
    <w:rsid w:val="00CB5AA7"/>
    <w:rsid w:val="00CB5C27"/>
    <w:rsid w:val="00CC0410"/>
    <w:rsid w:val="00CC2AC5"/>
    <w:rsid w:val="00CC2AD6"/>
    <w:rsid w:val="00CC2EDA"/>
    <w:rsid w:val="00CC5E4C"/>
    <w:rsid w:val="00CC6ACB"/>
    <w:rsid w:val="00CC7B37"/>
    <w:rsid w:val="00CD6C62"/>
    <w:rsid w:val="00CD6D3E"/>
    <w:rsid w:val="00CE14EF"/>
    <w:rsid w:val="00CE75E9"/>
    <w:rsid w:val="00CF28A8"/>
    <w:rsid w:val="00CF4525"/>
    <w:rsid w:val="00CF5865"/>
    <w:rsid w:val="00CF729F"/>
    <w:rsid w:val="00CF7C56"/>
    <w:rsid w:val="00D01A04"/>
    <w:rsid w:val="00D0253C"/>
    <w:rsid w:val="00D02A89"/>
    <w:rsid w:val="00D1625C"/>
    <w:rsid w:val="00D1668C"/>
    <w:rsid w:val="00D203F4"/>
    <w:rsid w:val="00D20BEB"/>
    <w:rsid w:val="00D214EB"/>
    <w:rsid w:val="00D23095"/>
    <w:rsid w:val="00D23400"/>
    <w:rsid w:val="00D242A1"/>
    <w:rsid w:val="00D251AB"/>
    <w:rsid w:val="00D278AF"/>
    <w:rsid w:val="00D32276"/>
    <w:rsid w:val="00D3327F"/>
    <w:rsid w:val="00D33292"/>
    <w:rsid w:val="00D34006"/>
    <w:rsid w:val="00D347CE"/>
    <w:rsid w:val="00D35F3E"/>
    <w:rsid w:val="00D417B8"/>
    <w:rsid w:val="00D4227C"/>
    <w:rsid w:val="00D4458F"/>
    <w:rsid w:val="00D46778"/>
    <w:rsid w:val="00D46A02"/>
    <w:rsid w:val="00D5055B"/>
    <w:rsid w:val="00D51891"/>
    <w:rsid w:val="00D51DE4"/>
    <w:rsid w:val="00D523E1"/>
    <w:rsid w:val="00D561DB"/>
    <w:rsid w:val="00D66519"/>
    <w:rsid w:val="00D66C5D"/>
    <w:rsid w:val="00D67B9F"/>
    <w:rsid w:val="00D75D6E"/>
    <w:rsid w:val="00D75F83"/>
    <w:rsid w:val="00D77AA8"/>
    <w:rsid w:val="00D77E09"/>
    <w:rsid w:val="00D77FF7"/>
    <w:rsid w:val="00D80229"/>
    <w:rsid w:val="00D83773"/>
    <w:rsid w:val="00D84F47"/>
    <w:rsid w:val="00D856BF"/>
    <w:rsid w:val="00D904C2"/>
    <w:rsid w:val="00D92125"/>
    <w:rsid w:val="00D923AE"/>
    <w:rsid w:val="00D9380F"/>
    <w:rsid w:val="00D95574"/>
    <w:rsid w:val="00DA200E"/>
    <w:rsid w:val="00DA26DA"/>
    <w:rsid w:val="00DA365C"/>
    <w:rsid w:val="00DA38F7"/>
    <w:rsid w:val="00DA4A6E"/>
    <w:rsid w:val="00DA4B0B"/>
    <w:rsid w:val="00DA575D"/>
    <w:rsid w:val="00DA733E"/>
    <w:rsid w:val="00DA7408"/>
    <w:rsid w:val="00DA76BB"/>
    <w:rsid w:val="00DA79B9"/>
    <w:rsid w:val="00DB3C7D"/>
    <w:rsid w:val="00DB530D"/>
    <w:rsid w:val="00DB564D"/>
    <w:rsid w:val="00DB6087"/>
    <w:rsid w:val="00DB61D4"/>
    <w:rsid w:val="00DB64BE"/>
    <w:rsid w:val="00DB6F5C"/>
    <w:rsid w:val="00DC1716"/>
    <w:rsid w:val="00DC2633"/>
    <w:rsid w:val="00DC29C2"/>
    <w:rsid w:val="00DC314B"/>
    <w:rsid w:val="00DC5D99"/>
    <w:rsid w:val="00DC64B5"/>
    <w:rsid w:val="00DC6CD7"/>
    <w:rsid w:val="00DC7CA6"/>
    <w:rsid w:val="00DD5E2C"/>
    <w:rsid w:val="00DE2276"/>
    <w:rsid w:val="00DE633B"/>
    <w:rsid w:val="00DE6875"/>
    <w:rsid w:val="00DF0F59"/>
    <w:rsid w:val="00DF131F"/>
    <w:rsid w:val="00DF155B"/>
    <w:rsid w:val="00DF5C84"/>
    <w:rsid w:val="00E15209"/>
    <w:rsid w:val="00E25884"/>
    <w:rsid w:val="00E27E8E"/>
    <w:rsid w:val="00E30C25"/>
    <w:rsid w:val="00E31C3A"/>
    <w:rsid w:val="00E31EFA"/>
    <w:rsid w:val="00E33DB4"/>
    <w:rsid w:val="00E348D5"/>
    <w:rsid w:val="00E34E42"/>
    <w:rsid w:val="00E35012"/>
    <w:rsid w:val="00E437F8"/>
    <w:rsid w:val="00E4385A"/>
    <w:rsid w:val="00E50BFD"/>
    <w:rsid w:val="00E53B89"/>
    <w:rsid w:val="00E550B8"/>
    <w:rsid w:val="00E568FF"/>
    <w:rsid w:val="00E57291"/>
    <w:rsid w:val="00E5783F"/>
    <w:rsid w:val="00E61623"/>
    <w:rsid w:val="00E61B1A"/>
    <w:rsid w:val="00E63A6F"/>
    <w:rsid w:val="00E66F02"/>
    <w:rsid w:val="00E80A97"/>
    <w:rsid w:val="00E822A7"/>
    <w:rsid w:val="00E8609D"/>
    <w:rsid w:val="00E915E4"/>
    <w:rsid w:val="00E92841"/>
    <w:rsid w:val="00E97A47"/>
    <w:rsid w:val="00EA383B"/>
    <w:rsid w:val="00EA4B62"/>
    <w:rsid w:val="00EC0B83"/>
    <w:rsid w:val="00EC1EC6"/>
    <w:rsid w:val="00EC218A"/>
    <w:rsid w:val="00EC303E"/>
    <w:rsid w:val="00EC3B80"/>
    <w:rsid w:val="00EC571A"/>
    <w:rsid w:val="00EC755B"/>
    <w:rsid w:val="00ED0205"/>
    <w:rsid w:val="00ED1ECC"/>
    <w:rsid w:val="00ED3AE9"/>
    <w:rsid w:val="00ED5F30"/>
    <w:rsid w:val="00EE001A"/>
    <w:rsid w:val="00EE021D"/>
    <w:rsid w:val="00EE296E"/>
    <w:rsid w:val="00EE4FBC"/>
    <w:rsid w:val="00EE6C58"/>
    <w:rsid w:val="00EF02FE"/>
    <w:rsid w:val="00EF4687"/>
    <w:rsid w:val="00EF49D0"/>
    <w:rsid w:val="00EF5675"/>
    <w:rsid w:val="00F021EC"/>
    <w:rsid w:val="00F02418"/>
    <w:rsid w:val="00F02AF7"/>
    <w:rsid w:val="00F04158"/>
    <w:rsid w:val="00F047F5"/>
    <w:rsid w:val="00F111BB"/>
    <w:rsid w:val="00F12482"/>
    <w:rsid w:val="00F14494"/>
    <w:rsid w:val="00F217E9"/>
    <w:rsid w:val="00F21E33"/>
    <w:rsid w:val="00F22A5A"/>
    <w:rsid w:val="00F23C16"/>
    <w:rsid w:val="00F266A8"/>
    <w:rsid w:val="00F26811"/>
    <w:rsid w:val="00F27558"/>
    <w:rsid w:val="00F2777C"/>
    <w:rsid w:val="00F37744"/>
    <w:rsid w:val="00F41A50"/>
    <w:rsid w:val="00F4480C"/>
    <w:rsid w:val="00F456C6"/>
    <w:rsid w:val="00F458C3"/>
    <w:rsid w:val="00F510DE"/>
    <w:rsid w:val="00F52157"/>
    <w:rsid w:val="00F52168"/>
    <w:rsid w:val="00F53741"/>
    <w:rsid w:val="00F539EB"/>
    <w:rsid w:val="00F539F0"/>
    <w:rsid w:val="00F54380"/>
    <w:rsid w:val="00F54936"/>
    <w:rsid w:val="00F54C17"/>
    <w:rsid w:val="00F56C0A"/>
    <w:rsid w:val="00F56C7D"/>
    <w:rsid w:val="00F62917"/>
    <w:rsid w:val="00F678E5"/>
    <w:rsid w:val="00F70799"/>
    <w:rsid w:val="00F75608"/>
    <w:rsid w:val="00F76C49"/>
    <w:rsid w:val="00F778E4"/>
    <w:rsid w:val="00F80855"/>
    <w:rsid w:val="00F82E1E"/>
    <w:rsid w:val="00F8563B"/>
    <w:rsid w:val="00F85E20"/>
    <w:rsid w:val="00F866D3"/>
    <w:rsid w:val="00F93EE3"/>
    <w:rsid w:val="00F945FC"/>
    <w:rsid w:val="00F9759F"/>
    <w:rsid w:val="00FA0BC1"/>
    <w:rsid w:val="00FA1948"/>
    <w:rsid w:val="00FA6482"/>
    <w:rsid w:val="00FA6E09"/>
    <w:rsid w:val="00FB15E1"/>
    <w:rsid w:val="00FB1FEE"/>
    <w:rsid w:val="00FB2E45"/>
    <w:rsid w:val="00FB35D5"/>
    <w:rsid w:val="00FB4447"/>
    <w:rsid w:val="00FB6ED7"/>
    <w:rsid w:val="00FB7DA6"/>
    <w:rsid w:val="00FC1B03"/>
    <w:rsid w:val="00FC2829"/>
    <w:rsid w:val="00FC3860"/>
    <w:rsid w:val="00FC5022"/>
    <w:rsid w:val="00FC5128"/>
    <w:rsid w:val="00FC525B"/>
    <w:rsid w:val="00FD06E3"/>
    <w:rsid w:val="00FD3DC3"/>
    <w:rsid w:val="00FD6DCD"/>
    <w:rsid w:val="00FE11F6"/>
    <w:rsid w:val="00FE1645"/>
    <w:rsid w:val="00FE3125"/>
    <w:rsid w:val="00FE3B2C"/>
    <w:rsid w:val="00FE457B"/>
    <w:rsid w:val="00FE5ED8"/>
    <w:rsid w:val="00FE61BA"/>
    <w:rsid w:val="00FE70AE"/>
    <w:rsid w:val="00FF0A28"/>
    <w:rsid w:val="00FF180D"/>
    <w:rsid w:val="00FF18B5"/>
    <w:rsid w:val="00FF18B9"/>
    <w:rsid w:val="00FF3B5F"/>
    <w:rsid w:val="00FF3CA9"/>
    <w:rsid w:val="00FF551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5BFCD-65A6-41CD-9B29-E0D15B5D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6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2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865"/>
  </w:style>
  <w:style w:type="paragraph" w:styleId="Stopka">
    <w:name w:val="footer"/>
    <w:basedOn w:val="Normalny"/>
    <w:link w:val="StopkaZnak"/>
    <w:uiPriority w:val="99"/>
    <w:unhideWhenUsed/>
    <w:rsid w:val="007E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865"/>
  </w:style>
  <w:style w:type="paragraph" w:customStyle="1" w:styleId="Default">
    <w:name w:val="Default"/>
    <w:rsid w:val="007E08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3B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397C"/>
    <w:pPr>
      <w:ind w:left="720"/>
      <w:contextualSpacing/>
    </w:pPr>
  </w:style>
  <w:style w:type="paragraph" w:styleId="Bezodstpw">
    <w:name w:val="No Spacing"/>
    <w:uiPriority w:val="1"/>
    <w:qFormat/>
    <w:rsid w:val="00C540B8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8776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9A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0569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20B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4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11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03ADD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Zwykytekst">
    <w:name w:val="Plain Text"/>
    <w:basedOn w:val="Normalny"/>
    <w:link w:val="ZwykytekstZnak"/>
    <w:unhideWhenUsed/>
    <w:rsid w:val="008076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761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B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BF3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poznaj-zas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jregion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Stacja graficzna</dc:creator>
  <cp:lastModifiedBy>Marlena Zielińska</cp:lastModifiedBy>
  <cp:revision>2</cp:revision>
  <cp:lastPrinted>2019-09-05T12:13:00Z</cp:lastPrinted>
  <dcterms:created xsi:type="dcterms:W3CDTF">2020-02-12T12:46:00Z</dcterms:created>
  <dcterms:modified xsi:type="dcterms:W3CDTF">2020-02-12T12:46:00Z</dcterms:modified>
</cp:coreProperties>
</file>