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3699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775C84">
        <w:rPr>
          <w:rFonts w:ascii="Arial" w:hAnsi="Arial" w:cs="Arial"/>
          <w:b/>
          <w:bCs/>
          <w:i/>
          <w:iCs/>
          <w:sz w:val="21"/>
          <w:szCs w:val="21"/>
        </w:rPr>
        <w:t>dukacja przyszłości” (WZP.272.7</w:t>
      </w:r>
      <w:r w:rsidR="000D2E48">
        <w:rPr>
          <w:rFonts w:ascii="Arial" w:hAnsi="Arial" w:cs="Arial"/>
          <w:b/>
          <w:bCs/>
          <w:i/>
          <w:iCs/>
          <w:sz w:val="21"/>
          <w:szCs w:val="21"/>
        </w:rPr>
        <w:t>9</w:t>
      </w:r>
      <w:bookmarkStart w:id="0" w:name="_GoBack"/>
      <w:bookmarkEnd w:id="0"/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3E24-00C6-4038-87E1-B2535D20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3</cp:revision>
  <cp:lastPrinted>2016-11-23T10:15:00Z</cp:lastPrinted>
  <dcterms:created xsi:type="dcterms:W3CDTF">2019-10-29T12:16:00Z</dcterms:created>
  <dcterms:modified xsi:type="dcterms:W3CDTF">2019-11-27T07:21:00Z</dcterms:modified>
</cp:coreProperties>
</file>